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C56" w:rsidRDefault="00B75C56"/>
    <w:p w:rsidR="00B75C56" w:rsidRDefault="00B75C56"/>
    <w:p w:rsidR="00B75C56" w:rsidRDefault="00B75C56"/>
    <w:p w:rsidR="00B75C56" w:rsidRDefault="00B75C56"/>
    <w:p w:rsidR="00B75C56" w:rsidRDefault="00B75C56"/>
    <w:p w:rsidR="00B75C56" w:rsidRDefault="00B75C56"/>
    <w:p w:rsidR="00B75C56" w:rsidRDefault="00B75C56"/>
    <w:p w:rsidR="00B75C56" w:rsidRDefault="00B75C56"/>
    <w:p w:rsidR="00B75C56" w:rsidRDefault="00B75C56"/>
    <w:tbl>
      <w:tblPr>
        <w:tblW w:w="10493" w:type="dxa"/>
        <w:tblCellMar>
          <w:left w:w="0" w:type="dxa"/>
          <w:right w:w="0" w:type="dxa"/>
        </w:tblCellMar>
        <w:tblLook w:val="04A0"/>
      </w:tblPr>
      <w:tblGrid>
        <w:gridCol w:w="10493"/>
      </w:tblGrid>
      <w:tr w:rsidR="00B75C56" w:rsidRPr="00B75C56" w:rsidTr="00B75C56">
        <w:trPr>
          <w:trHeight w:val="1130"/>
        </w:trPr>
        <w:tc>
          <w:tcPr>
            <w:tcW w:w="10493" w:type="dxa"/>
            <w:tcBorders>
              <w:top w:val="nil"/>
              <w:left w:val="single" w:sz="18" w:space="0" w:color="808080"/>
              <w:bottom w:val="nil"/>
              <w:right w:val="nil"/>
            </w:tcBorders>
            <w:tcMar>
              <w:top w:w="0" w:type="dxa"/>
              <w:left w:w="108" w:type="dxa"/>
              <w:bottom w:w="0" w:type="dxa"/>
              <w:right w:w="108" w:type="dxa"/>
            </w:tcMar>
            <w:vAlign w:val="center"/>
            <w:hideMark/>
          </w:tcPr>
          <w:p w:rsidR="00B75C56" w:rsidRPr="00B75C56" w:rsidRDefault="00B75C56" w:rsidP="00B75C56">
            <w:pPr>
              <w:spacing w:before="100" w:beforeAutospacing="1" w:after="100" w:afterAutospacing="1" w:line="240" w:lineRule="auto"/>
              <w:ind w:firstLine="321"/>
              <w:rPr>
                <w:rFonts w:ascii="Times New Roman" w:eastAsia="Times New Roman" w:hAnsi="Times New Roman" w:cs="Times New Roman"/>
                <w:sz w:val="24"/>
                <w:szCs w:val="24"/>
                <w:lang w:eastAsia="pt-BR"/>
              </w:rPr>
            </w:pPr>
            <w:r w:rsidRPr="00B75C56">
              <w:rPr>
                <w:rFonts w:ascii="Arial" w:eastAsia="Times New Roman" w:hAnsi="Arial" w:cs="Arial"/>
                <w:sz w:val="36"/>
                <w:szCs w:val="36"/>
                <w:lang w:eastAsia="pt-BR"/>
              </w:rPr>
              <w:t>POLÍTICA DE INVESTIMENTOS - 2021</w:t>
            </w:r>
          </w:p>
        </w:tc>
      </w:tr>
      <w:tr w:rsidR="00B75C56" w:rsidRPr="00B75C56" w:rsidTr="00B75C56">
        <w:trPr>
          <w:trHeight w:val="1130"/>
        </w:trPr>
        <w:tc>
          <w:tcPr>
            <w:tcW w:w="10493" w:type="dxa"/>
            <w:tcBorders>
              <w:top w:val="nil"/>
              <w:left w:val="single" w:sz="18" w:space="0" w:color="808080"/>
              <w:bottom w:val="nil"/>
              <w:right w:val="nil"/>
            </w:tcBorders>
            <w:tcMar>
              <w:top w:w="0" w:type="dxa"/>
              <w:left w:w="108" w:type="dxa"/>
              <w:bottom w:w="0" w:type="dxa"/>
              <w:right w:w="108" w:type="dxa"/>
            </w:tcMar>
            <w:vAlign w:val="center"/>
            <w:hideMark/>
          </w:tcPr>
          <w:p w:rsidR="00B75C56" w:rsidRPr="00B75C56" w:rsidRDefault="00B75C56" w:rsidP="00B75C56">
            <w:pPr>
              <w:spacing w:before="100" w:beforeAutospacing="1" w:after="100" w:afterAutospacing="1" w:line="240" w:lineRule="auto"/>
              <w:ind w:left="291"/>
              <w:rPr>
                <w:rFonts w:ascii="Times New Roman" w:eastAsia="Times New Roman" w:hAnsi="Times New Roman" w:cs="Times New Roman"/>
                <w:sz w:val="24"/>
                <w:szCs w:val="24"/>
                <w:lang w:eastAsia="pt-BR"/>
              </w:rPr>
            </w:pPr>
            <w:r w:rsidRPr="00B75C56">
              <w:rPr>
                <w:rFonts w:ascii="Arial" w:eastAsia="Times New Roman" w:hAnsi="Arial" w:cs="Arial"/>
                <w:sz w:val="24"/>
                <w:szCs w:val="24"/>
                <w:lang w:eastAsia="pt-BR"/>
              </w:rPr>
              <w:t>FUNDO MUNICIPAL DE APOSENTADORIA E PENSÃO DE FERNÃO</w:t>
            </w:r>
          </w:p>
        </w:tc>
      </w:tr>
    </w:tbl>
    <w:p w:rsidR="00B75C56" w:rsidRPr="00B75C56" w:rsidRDefault="00B75C56" w:rsidP="00B75C56">
      <w:pPr>
        <w:spacing w:before="100" w:beforeAutospacing="1" w:after="100" w:afterAutospacing="1" w:line="240" w:lineRule="auto"/>
        <w:rPr>
          <w:rFonts w:ascii="Times New Roman" w:eastAsia="Times New Roman" w:hAnsi="Times New Roman" w:cs="Times New Roman"/>
          <w:sz w:val="24"/>
          <w:szCs w:val="24"/>
          <w:lang w:eastAsia="pt-BR"/>
        </w:rPr>
      </w:pPr>
      <w:r w:rsidRPr="00B75C56">
        <w:rPr>
          <w:rFonts w:ascii="Arial" w:eastAsia="Times New Roman" w:hAnsi="Arial" w:cs="Arial"/>
          <w:sz w:val="20"/>
          <w:szCs w:val="20"/>
          <w:lang w:eastAsia="pt-BR"/>
        </w:rPr>
        <w:t> </w:t>
      </w:r>
    </w:p>
    <w:p w:rsidR="00B75C56" w:rsidRPr="00B75C56" w:rsidRDefault="00B75C56" w:rsidP="00B75C56">
      <w:pPr>
        <w:spacing w:before="100" w:beforeAutospacing="1" w:after="100" w:afterAutospacing="1" w:line="240" w:lineRule="auto"/>
        <w:rPr>
          <w:rFonts w:ascii="Times New Roman" w:eastAsia="Times New Roman" w:hAnsi="Times New Roman" w:cs="Times New Roman"/>
          <w:sz w:val="24"/>
          <w:szCs w:val="24"/>
          <w:lang w:eastAsia="pt-BR"/>
        </w:rPr>
      </w:pPr>
      <w:r w:rsidRPr="00B75C56">
        <w:rPr>
          <w:rFonts w:ascii="Arial" w:eastAsia="Times New Roman" w:hAnsi="Arial" w:cs="Arial"/>
          <w:sz w:val="20"/>
          <w:szCs w:val="20"/>
          <w:lang w:eastAsia="pt-BR"/>
        </w:rPr>
        <w:t> </w:t>
      </w:r>
    </w:p>
    <w:p w:rsidR="00B75C56" w:rsidRPr="00B75C56" w:rsidRDefault="00B75C56" w:rsidP="00B75C56">
      <w:pPr>
        <w:spacing w:before="100" w:beforeAutospacing="1" w:after="100" w:afterAutospacing="1" w:line="240" w:lineRule="auto"/>
        <w:rPr>
          <w:rFonts w:ascii="Times New Roman" w:eastAsia="Times New Roman" w:hAnsi="Times New Roman" w:cs="Times New Roman"/>
          <w:sz w:val="24"/>
          <w:szCs w:val="24"/>
          <w:lang w:eastAsia="pt-BR"/>
        </w:rPr>
      </w:pPr>
      <w:r w:rsidRPr="00B75C56">
        <w:rPr>
          <w:rFonts w:ascii="Arial" w:eastAsia="Times New Roman" w:hAnsi="Arial" w:cs="Arial"/>
          <w:sz w:val="20"/>
          <w:szCs w:val="20"/>
          <w:lang w:eastAsia="pt-BR"/>
        </w:rPr>
        <w:t> </w:t>
      </w:r>
    </w:p>
    <w:p w:rsidR="00B75C56" w:rsidRPr="00B75C56" w:rsidRDefault="00B75C56" w:rsidP="00B75C56">
      <w:pPr>
        <w:spacing w:before="100" w:beforeAutospacing="1" w:after="100" w:afterAutospacing="1" w:line="240" w:lineRule="auto"/>
        <w:rPr>
          <w:rFonts w:ascii="Times New Roman" w:eastAsia="Times New Roman" w:hAnsi="Times New Roman" w:cs="Times New Roman"/>
          <w:sz w:val="24"/>
          <w:szCs w:val="24"/>
          <w:lang w:eastAsia="pt-BR"/>
        </w:rPr>
      </w:pPr>
      <w:r w:rsidRPr="00B75C56">
        <w:rPr>
          <w:rFonts w:ascii="Arial" w:eastAsia="Times New Roman" w:hAnsi="Arial" w:cs="Arial"/>
          <w:sz w:val="20"/>
          <w:szCs w:val="20"/>
          <w:lang w:eastAsia="pt-BR"/>
        </w:rPr>
        <w:t> </w:t>
      </w:r>
    </w:p>
    <w:p w:rsidR="00B75C56" w:rsidRPr="00B75C56" w:rsidRDefault="00B75C56" w:rsidP="00B75C56">
      <w:pPr>
        <w:spacing w:before="100" w:beforeAutospacing="1" w:after="100" w:afterAutospacing="1" w:line="240" w:lineRule="auto"/>
        <w:rPr>
          <w:rFonts w:ascii="Times New Roman" w:eastAsia="Times New Roman" w:hAnsi="Times New Roman" w:cs="Times New Roman"/>
          <w:sz w:val="24"/>
          <w:szCs w:val="24"/>
          <w:lang w:eastAsia="pt-BR"/>
        </w:rPr>
      </w:pPr>
      <w:r w:rsidRPr="00B75C56">
        <w:rPr>
          <w:rFonts w:ascii="Arial" w:eastAsia="Times New Roman" w:hAnsi="Arial" w:cs="Arial"/>
          <w:sz w:val="20"/>
          <w:szCs w:val="20"/>
          <w:lang w:eastAsia="pt-BR"/>
        </w:rPr>
        <w:t>  </w:t>
      </w:r>
    </w:p>
    <w:p w:rsidR="00B75C56" w:rsidRPr="00B75C56" w:rsidRDefault="00B75C56" w:rsidP="00B75C56">
      <w:pPr>
        <w:spacing w:before="100" w:beforeAutospacing="1" w:after="100" w:afterAutospacing="1" w:line="240" w:lineRule="auto"/>
        <w:rPr>
          <w:rFonts w:ascii="Times New Roman" w:eastAsia="Times New Roman" w:hAnsi="Times New Roman" w:cs="Times New Roman"/>
          <w:sz w:val="24"/>
          <w:szCs w:val="24"/>
          <w:lang w:eastAsia="pt-BR"/>
        </w:rPr>
      </w:pPr>
      <w:r w:rsidRPr="00B75C56">
        <w:rPr>
          <w:rFonts w:ascii="Arial" w:eastAsia="Times New Roman" w:hAnsi="Arial" w:cs="Arial"/>
          <w:sz w:val="20"/>
          <w:szCs w:val="20"/>
          <w:lang w:eastAsia="pt-BR"/>
        </w:rPr>
        <w:t> </w:t>
      </w:r>
    </w:p>
    <w:p w:rsidR="00B75C56" w:rsidRPr="00B75C56" w:rsidRDefault="00B75C56" w:rsidP="00B75C56">
      <w:pPr>
        <w:spacing w:before="100" w:beforeAutospacing="1" w:after="100" w:afterAutospacing="1" w:line="240" w:lineRule="auto"/>
        <w:rPr>
          <w:rFonts w:ascii="Times New Roman" w:eastAsia="Times New Roman" w:hAnsi="Times New Roman" w:cs="Times New Roman"/>
          <w:sz w:val="24"/>
          <w:szCs w:val="24"/>
          <w:lang w:eastAsia="pt-BR"/>
        </w:rPr>
      </w:pPr>
      <w:r w:rsidRPr="00B75C56">
        <w:rPr>
          <w:rFonts w:ascii="Arial" w:eastAsia="Times New Roman" w:hAnsi="Arial" w:cs="Arial"/>
          <w:sz w:val="20"/>
          <w:szCs w:val="20"/>
          <w:lang w:eastAsia="pt-BR"/>
        </w:rPr>
        <w:t> </w:t>
      </w:r>
    </w:p>
    <w:tbl>
      <w:tblPr>
        <w:tblW w:w="0" w:type="auto"/>
        <w:tblCellMar>
          <w:left w:w="0" w:type="dxa"/>
          <w:right w:w="0" w:type="dxa"/>
        </w:tblCellMar>
        <w:tblLook w:val="04A0"/>
      </w:tblPr>
      <w:tblGrid>
        <w:gridCol w:w="4049"/>
        <w:gridCol w:w="2137"/>
        <w:gridCol w:w="3101"/>
      </w:tblGrid>
      <w:tr w:rsidR="00B75C56" w:rsidRPr="00B75C56" w:rsidTr="00B75C56">
        <w:trPr>
          <w:trHeight w:val="700"/>
        </w:trPr>
        <w:tc>
          <w:tcPr>
            <w:tcW w:w="4274"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vAlign w:val="center"/>
            <w:hideMark/>
          </w:tcPr>
          <w:p w:rsidR="00B75C56" w:rsidRPr="00B75C56" w:rsidRDefault="00B75C56" w:rsidP="00B75C5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B75C56">
              <w:rPr>
                <w:rFonts w:ascii="Arial" w:eastAsia="Times New Roman" w:hAnsi="Arial" w:cs="Arial"/>
                <w:sz w:val="20"/>
                <w:szCs w:val="20"/>
                <w:lang w:eastAsia="pt-BR"/>
              </w:rPr>
              <w:t>Política de Investimentos</w:t>
            </w:r>
          </w:p>
        </w:tc>
        <w:tc>
          <w:tcPr>
            <w:tcW w:w="2231" w:type="dxa"/>
            <w:tcBorders>
              <w:top w:val="single" w:sz="8" w:space="0" w:color="A6A6A6"/>
              <w:left w:val="nil"/>
              <w:bottom w:val="single" w:sz="8" w:space="0" w:color="A6A6A6"/>
              <w:right w:val="single" w:sz="8" w:space="0" w:color="A6A6A6"/>
            </w:tcBorders>
            <w:tcMar>
              <w:top w:w="0" w:type="dxa"/>
              <w:left w:w="108" w:type="dxa"/>
              <w:bottom w:w="0" w:type="dxa"/>
              <w:right w:w="108" w:type="dxa"/>
            </w:tcMar>
            <w:vAlign w:val="center"/>
            <w:hideMark/>
          </w:tcPr>
          <w:p w:rsidR="00B75C56" w:rsidRPr="00B75C56" w:rsidRDefault="00B75C56" w:rsidP="00B75C5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B75C56">
              <w:rPr>
                <w:rFonts w:ascii="Arial" w:eastAsia="Times New Roman" w:hAnsi="Arial" w:cs="Arial"/>
                <w:sz w:val="20"/>
                <w:szCs w:val="20"/>
                <w:lang w:eastAsia="pt-BR"/>
              </w:rPr>
              <w:t xml:space="preserve">VERSÃO </w:t>
            </w:r>
            <w:proofErr w:type="gramStart"/>
            <w:r w:rsidRPr="00B75C56">
              <w:rPr>
                <w:rFonts w:ascii="Arial" w:eastAsia="Times New Roman" w:hAnsi="Arial" w:cs="Arial"/>
                <w:sz w:val="20"/>
                <w:szCs w:val="20"/>
                <w:lang w:eastAsia="pt-BR"/>
              </w:rPr>
              <w:t>1</w:t>
            </w:r>
            <w:proofErr w:type="gramEnd"/>
          </w:p>
        </w:tc>
        <w:tc>
          <w:tcPr>
            <w:tcW w:w="3253" w:type="dxa"/>
            <w:tcBorders>
              <w:top w:val="single" w:sz="8" w:space="0" w:color="A6A6A6"/>
              <w:left w:val="nil"/>
              <w:bottom w:val="single" w:sz="8" w:space="0" w:color="A6A6A6"/>
              <w:right w:val="single" w:sz="8" w:space="0" w:color="A6A6A6"/>
            </w:tcBorders>
            <w:tcMar>
              <w:top w:w="0" w:type="dxa"/>
              <w:left w:w="108" w:type="dxa"/>
              <w:bottom w:w="0" w:type="dxa"/>
              <w:right w:w="108" w:type="dxa"/>
            </w:tcMar>
            <w:vAlign w:val="center"/>
            <w:hideMark/>
          </w:tcPr>
          <w:p w:rsidR="00B75C56" w:rsidRPr="00B75C56" w:rsidRDefault="00B75C56" w:rsidP="00B75C5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B75C56">
              <w:rPr>
                <w:rFonts w:ascii="Arial" w:eastAsia="Times New Roman" w:hAnsi="Arial" w:cs="Arial"/>
                <w:sz w:val="20"/>
                <w:szCs w:val="20"/>
                <w:lang w:eastAsia="pt-BR"/>
              </w:rPr>
              <w:t>APROVADO</w:t>
            </w:r>
          </w:p>
          <w:p w:rsidR="00B75C56" w:rsidRPr="00C14FF6" w:rsidRDefault="00C14FF6" w:rsidP="00B75C5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14FF6">
              <w:rPr>
                <w:rFonts w:ascii="Arial" w:eastAsia="Times New Roman" w:hAnsi="Arial" w:cs="Arial"/>
                <w:sz w:val="20"/>
                <w:szCs w:val="20"/>
                <w:lang w:eastAsia="pt-BR"/>
              </w:rPr>
              <w:t>25/01/2021</w:t>
            </w:r>
          </w:p>
        </w:tc>
      </w:tr>
      <w:tr w:rsidR="00B75C56" w:rsidRPr="00B75C56" w:rsidTr="00B75C56">
        <w:trPr>
          <w:trHeight w:val="700"/>
        </w:trPr>
        <w:tc>
          <w:tcPr>
            <w:tcW w:w="4274" w:type="dxa"/>
            <w:tcBorders>
              <w:top w:val="nil"/>
              <w:left w:val="single" w:sz="8" w:space="0" w:color="A6A6A6"/>
              <w:bottom w:val="single" w:sz="8" w:space="0" w:color="A6A6A6"/>
              <w:right w:val="single" w:sz="8" w:space="0" w:color="A6A6A6"/>
            </w:tcBorders>
            <w:tcMar>
              <w:top w:w="0" w:type="dxa"/>
              <w:left w:w="108" w:type="dxa"/>
              <w:bottom w:w="0" w:type="dxa"/>
              <w:right w:w="108" w:type="dxa"/>
            </w:tcMar>
            <w:vAlign w:val="center"/>
            <w:hideMark/>
          </w:tcPr>
          <w:p w:rsidR="00B75C56" w:rsidRPr="00B75C56" w:rsidRDefault="00B75C56" w:rsidP="00B75C5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B75C56">
              <w:rPr>
                <w:rFonts w:ascii="Arial" w:eastAsia="Times New Roman" w:hAnsi="Arial" w:cs="Arial"/>
                <w:sz w:val="20"/>
                <w:szCs w:val="20"/>
                <w:lang w:eastAsia="pt-BR"/>
              </w:rPr>
              <w:t>Elaboração: Comitê de Investimentos</w:t>
            </w:r>
          </w:p>
        </w:tc>
        <w:tc>
          <w:tcPr>
            <w:tcW w:w="5484" w:type="dxa"/>
            <w:gridSpan w:val="2"/>
            <w:tcBorders>
              <w:top w:val="nil"/>
              <w:left w:val="nil"/>
              <w:bottom w:val="single" w:sz="8" w:space="0" w:color="A6A6A6"/>
              <w:right w:val="single" w:sz="8" w:space="0" w:color="A6A6A6"/>
            </w:tcBorders>
            <w:tcMar>
              <w:top w:w="0" w:type="dxa"/>
              <w:left w:w="108" w:type="dxa"/>
              <w:bottom w:w="0" w:type="dxa"/>
              <w:right w:w="108" w:type="dxa"/>
            </w:tcMar>
            <w:vAlign w:val="center"/>
            <w:hideMark/>
          </w:tcPr>
          <w:p w:rsidR="00B75C56" w:rsidRPr="00B75C56" w:rsidRDefault="00B75C56" w:rsidP="00B75C5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B75C56">
              <w:rPr>
                <w:rFonts w:ascii="Arial" w:eastAsia="Times New Roman" w:hAnsi="Arial" w:cs="Arial"/>
                <w:b/>
                <w:bCs/>
                <w:sz w:val="20"/>
                <w:szCs w:val="20"/>
                <w:lang w:eastAsia="pt-BR"/>
              </w:rPr>
              <w:t>Aprovação:</w:t>
            </w:r>
            <w:r w:rsidRPr="00B75C56">
              <w:rPr>
                <w:rFonts w:ascii="Times New Roman" w:eastAsia="Times New Roman" w:hAnsi="Times New Roman" w:cs="Times New Roman"/>
                <w:sz w:val="24"/>
                <w:szCs w:val="24"/>
                <w:lang w:eastAsia="pt-BR"/>
              </w:rPr>
              <w:t xml:space="preserve"> </w:t>
            </w:r>
            <w:r w:rsidRPr="00B75C56">
              <w:rPr>
                <w:rFonts w:ascii="Arial" w:eastAsia="Times New Roman" w:hAnsi="Arial" w:cs="Arial"/>
                <w:sz w:val="20"/>
                <w:szCs w:val="20"/>
                <w:lang w:eastAsia="pt-BR"/>
              </w:rPr>
              <w:t>Conselho Deliberativo</w:t>
            </w:r>
          </w:p>
        </w:tc>
      </w:tr>
    </w:tbl>
    <w:p w:rsidR="00B75C56" w:rsidRPr="00B75C56" w:rsidRDefault="00B75C56" w:rsidP="00B75C56">
      <w:pPr>
        <w:spacing w:before="100" w:beforeAutospacing="1" w:after="100" w:afterAutospacing="1" w:line="240" w:lineRule="auto"/>
        <w:rPr>
          <w:rFonts w:ascii="Times New Roman" w:eastAsia="Times New Roman" w:hAnsi="Times New Roman" w:cs="Times New Roman"/>
          <w:sz w:val="24"/>
          <w:szCs w:val="24"/>
          <w:lang w:eastAsia="pt-BR"/>
        </w:rPr>
      </w:pPr>
      <w:r w:rsidRPr="00B75C56">
        <w:rPr>
          <w:rFonts w:ascii="Arial" w:eastAsia="Times New Roman" w:hAnsi="Arial" w:cs="Arial"/>
          <w:sz w:val="20"/>
          <w:szCs w:val="20"/>
          <w:lang w:eastAsia="pt-BR"/>
        </w:rPr>
        <w:t> </w:t>
      </w:r>
    </w:p>
    <w:p w:rsidR="00B75C56" w:rsidRPr="00B75C56" w:rsidRDefault="00B75C56" w:rsidP="00B75C56">
      <w:pPr>
        <w:spacing w:before="240" w:after="100" w:afterAutospacing="1" w:line="240" w:lineRule="auto"/>
        <w:rPr>
          <w:rFonts w:ascii="Times New Roman" w:eastAsia="Times New Roman" w:hAnsi="Times New Roman" w:cs="Times New Roman"/>
          <w:sz w:val="24"/>
          <w:szCs w:val="24"/>
          <w:lang w:eastAsia="pt-BR"/>
        </w:rPr>
      </w:pPr>
      <w:r w:rsidRPr="00B75C56">
        <w:rPr>
          <w:rFonts w:ascii="Arial" w:eastAsia="Times New Roman" w:hAnsi="Arial" w:cs="Arial"/>
          <w:sz w:val="20"/>
          <w:szCs w:val="20"/>
          <w:lang w:eastAsia="pt-BR"/>
        </w:rPr>
        <w:t> </w:t>
      </w:r>
    </w:p>
    <w:p w:rsidR="00B354B8" w:rsidRDefault="00B75C56" w:rsidP="008A6F0A">
      <w:pPr>
        <w:spacing w:before="240" w:after="100" w:afterAutospacing="1" w:line="240" w:lineRule="auto"/>
        <w:rPr>
          <w:rFonts w:ascii="Arial" w:eastAsia="Times New Roman" w:hAnsi="Arial" w:cs="Arial"/>
          <w:sz w:val="20"/>
          <w:szCs w:val="20"/>
          <w:lang w:eastAsia="pt-BR"/>
        </w:rPr>
      </w:pPr>
      <w:r w:rsidRPr="00B75C56">
        <w:rPr>
          <w:rFonts w:ascii="Arial" w:eastAsia="Times New Roman" w:hAnsi="Arial" w:cs="Arial"/>
          <w:sz w:val="20"/>
          <w:szCs w:val="20"/>
          <w:lang w:eastAsia="pt-BR"/>
        </w:rPr>
        <w:lastRenderedPageBreak/>
        <w:t> </w:t>
      </w:r>
    </w:p>
    <w:p w:rsidR="00B75C56" w:rsidRPr="00B75C56" w:rsidRDefault="00B75C56" w:rsidP="008A6F0A">
      <w:pPr>
        <w:spacing w:before="240" w:after="100" w:afterAutospacing="1" w:line="240" w:lineRule="auto"/>
        <w:rPr>
          <w:rFonts w:ascii="Times New Roman" w:eastAsia="Times New Roman" w:hAnsi="Times New Roman" w:cs="Times New Roman"/>
          <w:b/>
          <w:bCs/>
          <w:kern w:val="36"/>
          <w:sz w:val="48"/>
          <w:szCs w:val="48"/>
          <w:lang w:eastAsia="pt-BR"/>
        </w:rPr>
      </w:pPr>
      <w:r w:rsidRPr="00B75C56">
        <w:rPr>
          <w:rFonts w:ascii="Arial" w:eastAsia="Times New Roman" w:hAnsi="Arial" w:cs="Arial"/>
          <w:sz w:val="20"/>
          <w:szCs w:val="20"/>
          <w:lang w:eastAsia="pt-BR"/>
        </w:rPr>
        <w:t> </w:t>
      </w:r>
      <w:bookmarkStart w:id="0" w:name="_Toc20130587"/>
      <w:bookmarkStart w:id="1" w:name="_Toc435202736"/>
      <w:bookmarkEnd w:id="0"/>
      <w:proofErr w:type="gramStart"/>
      <w:r w:rsidRPr="00B75C56">
        <w:rPr>
          <w:rFonts w:ascii="Arial" w:eastAsia="Times New Roman" w:hAnsi="Arial" w:cs="Arial"/>
          <w:b/>
          <w:bCs/>
          <w:kern w:val="36"/>
          <w:lang w:eastAsia="pt-BR"/>
        </w:rPr>
        <w:t>1</w:t>
      </w:r>
      <w:proofErr w:type="gramEnd"/>
      <w:r w:rsidRPr="00B75C56">
        <w:rPr>
          <w:rFonts w:ascii="Times New Roman" w:eastAsia="Times New Roman" w:hAnsi="Times New Roman" w:cs="Times New Roman"/>
          <w:b/>
          <w:bCs/>
          <w:kern w:val="36"/>
          <w:sz w:val="14"/>
          <w:szCs w:val="14"/>
          <w:lang w:eastAsia="pt-BR"/>
        </w:rPr>
        <w:t xml:space="preserve">       </w:t>
      </w:r>
      <w:r w:rsidRPr="00B75C56">
        <w:rPr>
          <w:rFonts w:ascii="Arial" w:eastAsia="Times New Roman" w:hAnsi="Arial" w:cs="Arial"/>
          <w:b/>
          <w:bCs/>
          <w:kern w:val="36"/>
          <w:lang w:eastAsia="pt-BR"/>
        </w:rPr>
        <w:t>INTRODUÇÃO</w:t>
      </w:r>
      <w:bookmarkEnd w:id="1"/>
    </w:p>
    <w:p w:rsidR="00B75C56" w:rsidRPr="00B75C56" w:rsidRDefault="00B75C56" w:rsidP="00B75C56">
      <w:pPr>
        <w:spacing w:before="288" w:after="0" w:line="240" w:lineRule="auto"/>
        <w:jc w:val="both"/>
        <w:rPr>
          <w:rFonts w:ascii="Times New Roman" w:eastAsia="Times New Roman" w:hAnsi="Times New Roman" w:cs="Times New Roman"/>
          <w:sz w:val="24"/>
          <w:szCs w:val="24"/>
          <w:lang w:eastAsia="pt-BR"/>
        </w:rPr>
      </w:pPr>
      <w:r w:rsidRPr="00B75C56">
        <w:rPr>
          <w:rFonts w:ascii="Arial" w:eastAsia="Times New Roman" w:hAnsi="Arial" w:cs="Arial"/>
          <w:sz w:val="20"/>
          <w:szCs w:val="20"/>
          <w:lang w:eastAsia="pt-BR"/>
        </w:rPr>
        <w:t xml:space="preserve">Atendendo à Resolução do Conselho Monetário Nacional - CMN nº 3.922, de 25 de novembro de 2010, alterada pela Resolução CMN n° 4.392, de 19 de dezembro de 2014, pela Resolução CMN n° 4.604, de 19 de outubro de 2017 e posteriormente pela Resolução CMN n° 4.695, de 27 de novembro de 2018 (doravante denominada simplesmente "Resolução CMN nº 3.922/2010"), o Comitê de Investimentos e a Diretoria Executiva do </w:t>
      </w:r>
      <w:r w:rsidRPr="00B75C56">
        <w:rPr>
          <w:rFonts w:ascii="Arial" w:eastAsia="Times New Roman" w:hAnsi="Arial" w:cs="Arial"/>
          <w:b/>
          <w:bCs/>
          <w:sz w:val="20"/>
          <w:szCs w:val="20"/>
          <w:lang w:eastAsia="pt-BR"/>
        </w:rPr>
        <w:t>FUNDO MUNICIPAL DE APOSENTADORIA E PENSÃO DE FERNÃO</w:t>
      </w:r>
      <w:r w:rsidRPr="00B75C56">
        <w:rPr>
          <w:rFonts w:ascii="Arial" w:eastAsia="Times New Roman" w:hAnsi="Arial" w:cs="Arial"/>
          <w:sz w:val="20"/>
          <w:szCs w:val="20"/>
          <w:lang w:eastAsia="pt-BR"/>
        </w:rPr>
        <w:t>, apresenta sua Política de Investimentos para o exercício de 2021, devidamente analisada e aprovada por seu órgão superior de deliberação.</w:t>
      </w:r>
    </w:p>
    <w:p w:rsidR="00B75C56" w:rsidRPr="00B75C56" w:rsidRDefault="00B75C56" w:rsidP="00B75C56">
      <w:pPr>
        <w:spacing w:before="288" w:after="0" w:line="240" w:lineRule="auto"/>
        <w:jc w:val="both"/>
        <w:rPr>
          <w:rFonts w:ascii="Times New Roman" w:eastAsia="Times New Roman" w:hAnsi="Times New Roman" w:cs="Times New Roman"/>
          <w:sz w:val="24"/>
          <w:szCs w:val="24"/>
          <w:lang w:eastAsia="pt-BR"/>
        </w:rPr>
      </w:pPr>
      <w:r w:rsidRPr="00B75C56">
        <w:rPr>
          <w:rFonts w:ascii="Arial" w:eastAsia="Times New Roman" w:hAnsi="Arial" w:cs="Arial"/>
          <w:sz w:val="20"/>
          <w:szCs w:val="20"/>
          <w:lang w:eastAsia="pt-BR"/>
        </w:rPr>
        <w:t xml:space="preserve">A elaboração da Política de Investimentos representa uma formalidade legal que fundamenta e norteia todos os processos de tomada de decisões relativo aos investimentos </w:t>
      </w:r>
      <w:proofErr w:type="gramStart"/>
      <w:r w:rsidRPr="00B75C56">
        <w:rPr>
          <w:rFonts w:ascii="Arial" w:eastAsia="Times New Roman" w:hAnsi="Arial" w:cs="Arial"/>
          <w:sz w:val="20"/>
          <w:szCs w:val="20"/>
          <w:lang w:eastAsia="pt-BR"/>
        </w:rPr>
        <w:t>do Regimes</w:t>
      </w:r>
      <w:proofErr w:type="gramEnd"/>
      <w:r w:rsidRPr="00B75C56">
        <w:rPr>
          <w:rFonts w:ascii="Arial" w:eastAsia="Times New Roman" w:hAnsi="Arial" w:cs="Arial"/>
          <w:sz w:val="20"/>
          <w:szCs w:val="20"/>
          <w:lang w:eastAsia="pt-BR"/>
        </w:rPr>
        <w:t xml:space="preserve"> Próprios de Previdência Social - RPPS, empregada como instrumento necessário para garantir a consistência da gestão dos recursos em busca do equilíbrio econômico-financeiro.</w:t>
      </w:r>
    </w:p>
    <w:p w:rsidR="00B75C56" w:rsidRPr="00B75C56" w:rsidRDefault="00B75C56" w:rsidP="00B75C56">
      <w:pPr>
        <w:spacing w:before="288" w:after="0" w:line="240" w:lineRule="auto"/>
        <w:jc w:val="both"/>
        <w:rPr>
          <w:rFonts w:ascii="Times New Roman" w:eastAsia="Times New Roman" w:hAnsi="Times New Roman" w:cs="Times New Roman"/>
          <w:sz w:val="24"/>
          <w:szCs w:val="24"/>
          <w:lang w:eastAsia="pt-BR"/>
        </w:rPr>
      </w:pPr>
      <w:r w:rsidRPr="00B75C56">
        <w:rPr>
          <w:rFonts w:ascii="Arial" w:eastAsia="Times New Roman" w:hAnsi="Arial" w:cs="Arial"/>
          <w:sz w:val="20"/>
          <w:szCs w:val="20"/>
          <w:lang w:eastAsia="pt-BR"/>
        </w:rPr>
        <w:t>Os fundamentos para a elaboração da presente Política de Investimentos estão centrados em critérios técnicos de grande relevância. Ressalta-se que o principal a ser observado, para que se trabalhe com parâmetros sólidos, é aquele referente à análise do fluxo de caixa atuarial, ou seja, o equilíbrio entre ativo e passivo, levando-se em consideração as reservas técnicas atuariais (ativos) e as reservas matemáticas (passivo) projetadas pelo cálculo atuarial.</w:t>
      </w:r>
    </w:p>
    <w:p w:rsidR="00B75C56" w:rsidRPr="00B75C56" w:rsidRDefault="00B75C56" w:rsidP="00B75C56">
      <w:pPr>
        <w:spacing w:before="288" w:after="0" w:line="240" w:lineRule="auto"/>
        <w:jc w:val="both"/>
        <w:rPr>
          <w:rFonts w:ascii="Times New Roman" w:eastAsia="Times New Roman" w:hAnsi="Times New Roman" w:cs="Times New Roman"/>
          <w:color w:val="FF0000"/>
          <w:sz w:val="24"/>
          <w:szCs w:val="24"/>
          <w:lang w:eastAsia="pt-BR"/>
        </w:rPr>
      </w:pPr>
      <w:r w:rsidRPr="00B75C56">
        <w:rPr>
          <w:rFonts w:ascii="Arial" w:eastAsia="Times New Roman" w:hAnsi="Arial" w:cs="Arial"/>
          <w:color w:val="FF0000"/>
          <w:sz w:val="20"/>
          <w:szCs w:val="20"/>
          <w:lang w:eastAsia="pt-BR"/>
        </w:rPr>
        <w:t> </w:t>
      </w:r>
    </w:p>
    <w:p w:rsidR="00B75C56" w:rsidRPr="00B75C56" w:rsidRDefault="00B75C56" w:rsidP="00832344">
      <w:pPr>
        <w:spacing w:before="288" w:after="0" w:line="240" w:lineRule="auto"/>
        <w:jc w:val="both"/>
        <w:rPr>
          <w:rFonts w:ascii="Times New Roman" w:eastAsia="Times New Roman" w:hAnsi="Times New Roman" w:cs="Times New Roman"/>
          <w:b/>
          <w:bCs/>
          <w:kern w:val="36"/>
          <w:sz w:val="48"/>
          <w:szCs w:val="48"/>
          <w:lang w:eastAsia="pt-BR"/>
        </w:rPr>
      </w:pPr>
      <w:r w:rsidRPr="00B75C56">
        <w:rPr>
          <w:rFonts w:ascii="Arial" w:eastAsia="Times New Roman" w:hAnsi="Arial" w:cs="Arial"/>
          <w:sz w:val="20"/>
          <w:szCs w:val="20"/>
          <w:lang w:eastAsia="pt-BR"/>
        </w:rPr>
        <w:t> </w:t>
      </w:r>
      <w:bookmarkStart w:id="2" w:name="_Toc20130588"/>
      <w:bookmarkStart w:id="3" w:name="_Toc490036539"/>
      <w:bookmarkStart w:id="4" w:name="_Toc435202737"/>
      <w:bookmarkEnd w:id="2"/>
      <w:bookmarkEnd w:id="3"/>
      <w:proofErr w:type="gramStart"/>
      <w:r w:rsidRPr="00B75C56">
        <w:rPr>
          <w:rFonts w:ascii="Arial" w:eastAsia="Times New Roman" w:hAnsi="Arial" w:cs="Arial"/>
          <w:b/>
          <w:bCs/>
          <w:kern w:val="36"/>
          <w:lang w:eastAsia="pt-BR"/>
        </w:rPr>
        <w:t>2</w:t>
      </w:r>
      <w:proofErr w:type="gramEnd"/>
      <w:r w:rsidRPr="00B75C56">
        <w:rPr>
          <w:rFonts w:ascii="Times New Roman" w:eastAsia="Times New Roman" w:hAnsi="Times New Roman" w:cs="Times New Roman"/>
          <w:b/>
          <w:bCs/>
          <w:kern w:val="36"/>
          <w:sz w:val="14"/>
          <w:szCs w:val="14"/>
          <w:lang w:eastAsia="pt-BR"/>
        </w:rPr>
        <w:t xml:space="preserve">       </w:t>
      </w:r>
      <w:r w:rsidRPr="00B75C56">
        <w:rPr>
          <w:rFonts w:ascii="Arial" w:eastAsia="Times New Roman" w:hAnsi="Arial" w:cs="Arial"/>
          <w:b/>
          <w:bCs/>
          <w:kern w:val="36"/>
          <w:lang w:eastAsia="pt-BR"/>
        </w:rPr>
        <w:t>OBJETIVO</w:t>
      </w:r>
      <w:bookmarkEnd w:id="4"/>
    </w:p>
    <w:p w:rsidR="00B75C56" w:rsidRPr="00B75C56" w:rsidRDefault="00B75C56" w:rsidP="00B75C56">
      <w:pPr>
        <w:spacing w:before="288" w:after="0" w:line="240" w:lineRule="auto"/>
        <w:jc w:val="both"/>
        <w:rPr>
          <w:rFonts w:ascii="Times New Roman" w:eastAsia="Times New Roman" w:hAnsi="Times New Roman" w:cs="Times New Roman"/>
          <w:sz w:val="24"/>
          <w:szCs w:val="24"/>
          <w:lang w:eastAsia="pt-BR"/>
        </w:rPr>
      </w:pPr>
      <w:r w:rsidRPr="00B75C56">
        <w:rPr>
          <w:rFonts w:ascii="Arial" w:eastAsia="Times New Roman" w:hAnsi="Arial" w:cs="Arial"/>
          <w:sz w:val="20"/>
          <w:szCs w:val="20"/>
          <w:lang w:eastAsia="pt-BR"/>
        </w:rPr>
        <w:t xml:space="preserve">A Política de Investimentos do </w:t>
      </w:r>
      <w:r w:rsidRPr="00B75C56">
        <w:rPr>
          <w:rFonts w:ascii="Arial" w:eastAsia="Times New Roman" w:hAnsi="Arial" w:cs="Arial"/>
          <w:b/>
          <w:bCs/>
          <w:sz w:val="20"/>
          <w:szCs w:val="20"/>
          <w:lang w:eastAsia="pt-BR"/>
        </w:rPr>
        <w:t>FUNDO MUNICIPAL DE APOSENTADORIA E PENSÃO DE FERNÃO</w:t>
      </w:r>
      <w:r w:rsidRPr="00B75C56">
        <w:rPr>
          <w:rFonts w:ascii="Arial" w:eastAsia="Times New Roman" w:hAnsi="Arial" w:cs="Arial"/>
          <w:sz w:val="20"/>
          <w:szCs w:val="20"/>
          <w:lang w:eastAsia="pt-BR"/>
        </w:rPr>
        <w:t xml:space="preserve"> tem como objetivo estabelecer as diretrizes das aplicações dos recursos garantidores dos pagamentos dos segurados e beneficiários do regime, visando atingir a meta de rentabilidade, definida a partir </w:t>
      </w:r>
      <w:proofErr w:type="gramStart"/>
      <w:r w:rsidRPr="00B75C56">
        <w:rPr>
          <w:rFonts w:ascii="Arial" w:eastAsia="Times New Roman" w:hAnsi="Arial" w:cs="Arial"/>
          <w:sz w:val="20"/>
          <w:szCs w:val="20"/>
          <w:lang w:eastAsia="pt-BR"/>
        </w:rPr>
        <w:t>o cálculo feita na apuração do valor esperando da rentabilidade futura da carteira de investimentos</w:t>
      </w:r>
      <w:proofErr w:type="gramEnd"/>
      <w:r w:rsidRPr="00B75C56">
        <w:rPr>
          <w:rFonts w:ascii="Arial" w:eastAsia="Times New Roman" w:hAnsi="Arial" w:cs="Arial"/>
          <w:sz w:val="20"/>
          <w:szCs w:val="20"/>
          <w:lang w:eastAsia="pt-BR"/>
        </w:rPr>
        <w:t xml:space="preserve"> e assim, garantir a manutenção do seu equilíbrio econômico, financeiro e atuarial, tendo sempre presentes os princípios da boa governança, da segurança, rentabilidade, solvência, liquidez, motivação, adequação à natureza de suas obrigações e transparência.</w:t>
      </w:r>
    </w:p>
    <w:p w:rsidR="00B75C56" w:rsidRPr="00B75C56" w:rsidRDefault="00B75C56" w:rsidP="00B75C56">
      <w:pPr>
        <w:spacing w:before="288" w:after="0" w:line="240" w:lineRule="auto"/>
        <w:jc w:val="both"/>
        <w:rPr>
          <w:rFonts w:ascii="Times New Roman" w:eastAsia="Times New Roman" w:hAnsi="Times New Roman" w:cs="Times New Roman"/>
          <w:sz w:val="24"/>
          <w:szCs w:val="24"/>
          <w:lang w:eastAsia="pt-BR"/>
        </w:rPr>
      </w:pPr>
      <w:r w:rsidRPr="00B75C56">
        <w:rPr>
          <w:rFonts w:ascii="Arial" w:eastAsia="Times New Roman" w:hAnsi="Arial" w:cs="Arial"/>
          <w:sz w:val="20"/>
          <w:szCs w:val="20"/>
          <w:lang w:eastAsia="pt-BR"/>
        </w:rPr>
        <w:t xml:space="preserve">A Política de Investimentos tem ainda, como objetivo específico, zelar pela eficiência na condução dos processos internos relativas às aplicações e gestão dos recursos, buscando alocar os investimentos em instituições que possuam as seguintes características: </w:t>
      </w:r>
      <w:r w:rsidRPr="00B75C56">
        <w:rPr>
          <w:rFonts w:ascii="Arial" w:eastAsia="Times New Roman" w:hAnsi="Arial" w:cs="Arial"/>
          <w:b/>
          <w:bCs/>
          <w:sz w:val="20"/>
          <w:szCs w:val="20"/>
          <w:lang w:eastAsia="pt-BR"/>
        </w:rPr>
        <w:t>padrão ético de conduta, solidez patrimonial, histórico e experiência positiva, com reputação considerada ilibada no exercício da atividade de administração e gestão de grandes volumes de recursos e em ativos com adequada relação risco X retorno</w:t>
      </w:r>
      <w:r w:rsidRPr="00B75C56">
        <w:rPr>
          <w:rFonts w:ascii="Arial" w:eastAsia="Times New Roman" w:hAnsi="Arial" w:cs="Arial"/>
          <w:sz w:val="20"/>
          <w:szCs w:val="20"/>
          <w:lang w:eastAsia="pt-BR"/>
        </w:rPr>
        <w:t>.</w:t>
      </w:r>
    </w:p>
    <w:p w:rsidR="00B75C56" w:rsidRPr="00B75C56" w:rsidRDefault="00B75C56" w:rsidP="00B75C56">
      <w:pPr>
        <w:spacing w:before="288" w:after="0" w:line="240" w:lineRule="auto"/>
        <w:jc w:val="both"/>
        <w:rPr>
          <w:rFonts w:ascii="Times New Roman" w:eastAsia="Times New Roman" w:hAnsi="Times New Roman" w:cs="Times New Roman"/>
          <w:sz w:val="24"/>
          <w:szCs w:val="24"/>
          <w:lang w:eastAsia="pt-BR"/>
        </w:rPr>
      </w:pPr>
      <w:r w:rsidRPr="00B75C56">
        <w:rPr>
          <w:rFonts w:ascii="Arial" w:eastAsia="Times New Roman" w:hAnsi="Arial" w:cs="Arial"/>
          <w:sz w:val="20"/>
          <w:szCs w:val="20"/>
          <w:lang w:eastAsia="pt-BR"/>
        </w:rPr>
        <w:t>Para cumprimento do objetivo específico e considerando as perspectivas do cenário econômico, a Política de Investimentos estabelecerá o plano de contingência, os parâmetros, as metodologias, os critérios, as modalidades e os limites legais e operacionais, buscando a mais adequada alocação dos ativos, à vista do perfil do passivo no curto, médio e longo prazo, atendendo no mínimo aos requisitos da Resolução CMN nº 3.922/2010.</w:t>
      </w:r>
    </w:p>
    <w:p w:rsidR="00B75C56" w:rsidRPr="00B75C56" w:rsidRDefault="00B75C56" w:rsidP="00B75C56">
      <w:pPr>
        <w:spacing w:before="288" w:after="0" w:line="240" w:lineRule="auto"/>
        <w:jc w:val="both"/>
        <w:rPr>
          <w:rFonts w:ascii="Times New Roman" w:eastAsia="Times New Roman" w:hAnsi="Times New Roman" w:cs="Times New Roman"/>
          <w:sz w:val="24"/>
          <w:szCs w:val="24"/>
          <w:lang w:eastAsia="pt-BR"/>
        </w:rPr>
      </w:pPr>
      <w:r w:rsidRPr="00B75C56">
        <w:rPr>
          <w:rFonts w:ascii="Arial" w:eastAsia="Times New Roman" w:hAnsi="Arial" w:cs="Arial"/>
          <w:sz w:val="20"/>
          <w:szCs w:val="20"/>
          <w:lang w:eastAsia="pt-BR"/>
        </w:rPr>
        <w:t xml:space="preserve">Os responsáveis pela gestão do </w:t>
      </w:r>
      <w:r w:rsidRPr="00B75C56">
        <w:rPr>
          <w:rFonts w:ascii="Arial" w:eastAsia="Times New Roman" w:hAnsi="Arial" w:cs="Arial"/>
          <w:b/>
          <w:bCs/>
          <w:sz w:val="20"/>
          <w:szCs w:val="20"/>
          <w:lang w:eastAsia="pt-BR"/>
        </w:rPr>
        <w:t>FUNDO MUNICIPAL DE APOSENTADORIA E PENSÃO DE FERNÃO</w:t>
      </w:r>
      <w:r w:rsidRPr="00B75C56">
        <w:rPr>
          <w:rFonts w:ascii="Arial" w:eastAsia="Times New Roman" w:hAnsi="Arial" w:cs="Arial"/>
          <w:sz w:val="20"/>
          <w:szCs w:val="20"/>
          <w:lang w:eastAsia="pt-BR"/>
        </w:rPr>
        <w:t xml:space="preserve"> têm como uma das principais objetividades a contínua busca pela ciência do conhecimento técnico, exercendo suas atividades com boa fé, legalidade e diligência; zelando por elevados padrões éticos, adotando as boas práticas de gestão previdenciária no âmbito do Pró-Gestão, que visem garantir o cumprimento de suas obrigações.</w:t>
      </w:r>
    </w:p>
    <w:p w:rsidR="00B75C56" w:rsidRPr="00B75C56" w:rsidRDefault="00B75C56" w:rsidP="00B354B8">
      <w:pPr>
        <w:spacing w:before="288" w:after="0" w:line="240" w:lineRule="auto"/>
        <w:jc w:val="both"/>
        <w:rPr>
          <w:rFonts w:ascii="Times New Roman" w:eastAsia="Times New Roman" w:hAnsi="Times New Roman" w:cs="Times New Roman"/>
          <w:sz w:val="24"/>
          <w:szCs w:val="24"/>
          <w:lang w:eastAsia="pt-BR"/>
        </w:rPr>
      </w:pPr>
      <w:r w:rsidRPr="00B75C56">
        <w:rPr>
          <w:rFonts w:ascii="Arial" w:eastAsia="Times New Roman" w:hAnsi="Arial" w:cs="Arial"/>
          <w:sz w:val="20"/>
          <w:szCs w:val="20"/>
          <w:lang w:eastAsia="pt-BR"/>
        </w:rPr>
        <w:lastRenderedPageBreak/>
        <w:t xml:space="preserve">Entende-se por responsáveis pela gestão dos recursos do </w:t>
      </w:r>
      <w:r w:rsidRPr="00B75C56">
        <w:rPr>
          <w:rFonts w:ascii="Arial" w:eastAsia="Times New Roman" w:hAnsi="Arial" w:cs="Arial"/>
          <w:b/>
          <w:bCs/>
          <w:sz w:val="20"/>
          <w:szCs w:val="20"/>
          <w:lang w:eastAsia="pt-BR"/>
        </w:rPr>
        <w:t>FUNDO MUNICIPAL DE APOSENTADORIA E PENSÃO DE FERNÃO</w:t>
      </w:r>
      <w:r w:rsidRPr="00B75C56">
        <w:rPr>
          <w:rFonts w:ascii="Arial" w:eastAsia="Times New Roman" w:hAnsi="Arial" w:cs="Arial"/>
          <w:sz w:val="20"/>
          <w:szCs w:val="20"/>
          <w:lang w:eastAsia="pt-BR"/>
        </w:rPr>
        <w:t>, as pessoas que participam do processo de análise, de</w:t>
      </w:r>
      <w:r w:rsidRPr="00B75C56">
        <w:rPr>
          <w:rFonts w:ascii="Arial" w:eastAsia="Times New Roman" w:hAnsi="Arial" w:cs="Arial"/>
          <w:color w:val="FF0000"/>
          <w:sz w:val="20"/>
          <w:szCs w:val="20"/>
          <w:lang w:eastAsia="pt-BR"/>
        </w:rPr>
        <w:t xml:space="preserve"> </w:t>
      </w:r>
      <w:r w:rsidRPr="00B75C56">
        <w:rPr>
          <w:rFonts w:ascii="Arial" w:eastAsia="Times New Roman" w:hAnsi="Arial" w:cs="Arial"/>
          <w:sz w:val="20"/>
          <w:szCs w:val="20"/>
          <w:lang w:eastAsia="pt-BR"/>
        </w:rPr>
        <w:t>assessoramento e decisório sobre a aplicação dos recursos, bem como os participantes do mercado de título e valores mobiliários no que se refere à distribuição, intermediação e administração dos ativos.</w:t>
      </w:r>
    </w:p>
    <w:p w:rsidR="00B75C56" w:rsidRPr="00B75C56" w:rsidRDefault="00B75C56" w:rsidP="00B354B8">
      <w:pPr>
        <w:spacing w:before="288" w:after="0" w:line="240" w:lineRule="auto"/>
        <w:jc w:val="both"/>
        <w:rPr>
          <w:rFonts w:ascii="Times New Roman" w:eastAsia="Times New Roman" w:hAnsi="Times New Roman" w:cs="Times New Roman"/>
          <w:sz w:val="24"/>
          <w:szCs w:val="24"/>
          <w:lang w:eastAsia="pt-BR"/>
        </w:rPr>
      </w:pPr>
      <w:r w:rsidRPr="00B75C56">
        <w:rPr>
          <w:rFonts w:ascii="Arial" w:eastAsia="Times New Roman" w:hAnsi="Arial" w:cs="Arial"/>
          <w:sz w:val="20"/>
          <w:szCs w:val="20"/>
          <w:lang w:eastAsia="pt-BR"/>
        </w:rPr>
        <w:t xml:space="preserve">A responsabilidade de cada agente envolvido no processo de análise, avaliação, gerenciamento, assessoramento e decisório sobre as aplicações dos recursos, foram definidos e estão disponíveis nos documentos de controle interno do </w:t>
      </w:r>
      <w:r w:rsidRPr="00B75C56">
        <w:rPr>
          <w:rFonts w:ascii="Arial" w:eastAsia="Times New Roman" w:hAnsi="Arial" w:cs="Arial"/>
          <w:b/>
          <w:bCs/>
          <w:sz w:val="20"/>
          <w:szCs w:val="20"/>
          <w:lang w:eastAsia="pt-BR"/>
        </w:rPr>
        <w:t>FUNDO MUNICIPAL DE APOSENTADORIA E PENSÃO DE FERNÃO</w:t>
      </w:r>
      <w:r w:rsidRPr="00B75C56">
        <w:rPr>
          <w:rFonts w:ascii="Arial" w:eastAsia="Times New Roman" w:hAnsi="Arial" w:cs="Arial"/>
          <w:sz w:val="20"/>
          <w:szCs w:val="20"/>
          <w:lang w:eastAsia="pt-BR"/>
        </w:rPr>
        <w:t>, instituídos como REGRAS, PROCEDIMENTOS E CONTROLES INTERNOS.</w:t>
      </w:r>
    </w:p>
    <w:p w:rsidR="00B75C56" w:rsidRPr="00B75C56" w:rsidRDefault="00B75C56" w:rsidP="00B75C56">
      <w:pPr>
        <w:spacing w:before="240" w:after="100" w:afterAutospacing="1" w:line="240" w:lineRule="auto"/>
        <w:rPr>
          <w:rFonts w:ascii="Times New Roman" w:eastAsia="Times New Roman" w:hAnsi="Times New Roman" w:cs="Times New Roman"/>
          <w:color w:val="FF0000"/>
          <w:sz w:val="24"/>
          <w:szCs w:val="24"/>
          <w:lang w:eastAsia="pt-BR"/>
        </w:rPr>
      </w:pPr>
      <w:r w:rsidRPr="00B75C56">
        <w:rPr>
          <w:rFonts w:ascii="Arial" w:eastAsia="Times New Roman" w:hAnsi="Arial" w:cs="Arial"/>
          <w:sz w:val="20"/>
          <w:szCs w:val="20"/>
          <w:lang w:eastAsia="pt-BR"/>
        </w:rPr>
        <w:t> </w:t>
      </w:r>
      <w:r w:rsidRPr="00B75C56">
        <w:rPr>
          <w:rFonts w:ascii="Arial" w:eastAsia="Times New Roman" w:hAnsi="Arial" w:cs="Arial"/>
          <w:color w:val="FF0000"/>
          <w:sz w:val="20"/>
          <w:szCs w:val="20"/>
          <w:lang w:eastAsia="pt-BR"/>
        </w:rPr>
        <w:t> </w:t>
      </w:r>
    </w:p>
    <w:p w:rsidR="00B75C56" w:rsidRPr="00B75C56" w:rsidRDefault="00B75C56" w:rsidP="00B75C56">
      <w:pPr>
        <w:spacing w:before="100" w:beforeAutospacing="1" w:after="100" w:afterAutospacing="1" w:line="240" w:lineRule="auto"/>
        <w:outlineLvl w:val="0"/>
        <w:rPr>
          <w:rFonts w:ascii="Times New Roman" w:eastAsia="Times New Roman" w:hAnsi="Times New Roman" w:cs="Times New Roman"/>
          <w:b/>
          <w:bCs/>
          <w:kern w:val="36"/>
          <w:sz w:val="48"/>
          <w:szCs w:val="48"/>
          <w:lang w:eastAsia="pt-BR"/>
        </w:rPr>
      </w:pPr>
      <w:bookmarkStart w:id="5" w:name="_Toc20130589"/>
      <w:proofErr w:type="gramStart"/>
      <w:r w:rsidRPr="00B75C56">
        <w:rPr>
          <w:rFonts w:ascii="Arial" w:eastAsia="Times New Roman" w:hAnsi="Arial" w:cs="Arial"/>
          <w:b/>
          <w:bCs/>
          <w:kern w:val="36"/>
          <w:lang w:eastAsia="pt-BR"/>
        </w:rPr>
        <w:t>3</w:t>
      </w:r>
      <w:proofErr w:type="gramEnd"/>
      <w:r w:rsidRPr="00B75C56">
        <w:rPr>
          <w:rFonts w:ascii="Times New Roman" w:eastAsia="Times New Roman" w:hAnsi="Times New Roman" w:cs="Times New Roman"/>
          <w:b/>
          <w:bCs/>
          <w:kern w:val="36"/>
          <w:sz w:val="14"/>
          <w:szCs w:val="14"/>
          <w:lang w:eastAsia="pt-BR"/>
        </w:rPr>
        <w:t>      </w:t>
      </w:r>
      <w:r w:rsidRPr="00B75C56">
        <w:rPr>
          <w:rFonts w:ascii="Times New Roman" w:eastAsia="Times New Roman" w:hAnsi="Times New Roman" w:cs="Times New Roman"/>
          <w:b/>
          <w:bCs/>
          <w:kern w:val="36"/>
          <w:sz w:val="48"/>
          <w:szCs w:val="48"/>
          <w:lang w:eastAsia="pt-BR"/>
        </w:rPr>
        <w:t xml:space="preserve"> </w:t>
      </w:r>
      <w:r w:rsidRPr="00B75C56">
        <w:rPr>
          <w:rFonts w:ascii="Arial" w:eastAsia="Times New Roman" w:hAnsi="Arial" w:cs="Arial"/>
          <w:b/>
          <w:bCs/>
          <w:kern w:val="36"/>
          <w:lang w:eastAsia="pt-BR"/>
        </w:rPr>
        <w:t>PERFIL DE INVESTIDOR</w:t>
      </w:r>
      <w:bookmarkEnd w:id="5"/>
    </w:p>
    <w:p w:rsidR="00B75C56" w:rsidRPr="00B75C56" w:rsidRDefault="00B75C56" w:rsidP="00B354B8">
      <w:pPr>
        <w:spacing w:before="240" w:after="100" w:afterAutospacing="1" w:line="240" w:lineRule="auto"/>
        <w:jc w:val="both"/>
        <w:rPr>
          <w:rFonts w:ascii="Times New Roman" w:eastAsia="Times New Roman" w:hAnsi="Times New Roman" w:cs="Times New Roman"/>
          <w:sz w:val="24"/>
          <w:szCs w:val="24"/>
          <w:lang w:eastAsia="pt-BR"/>
        </w:rPr>
      </w:pPr>
      <w:r w:rsidRPr="00B75C56">
        <w:rPr>
          <w:rFonts w:ascii="Arial" w:eastAsia="Times New Roman" w:hAnsi="Arial" w:cs="Arial"/>
          <w:sz w:val="20"/>
          <w:szCs w:val="20"/>
          <w:lang w:eastAsia="pt-BR"/>
        </w:rPr>
        <w:t xml:space="preserve">Trata-se de análise de Perfil do </w:t>
      </w:r>
      <w:r w:rsidRPr="00B75C56">
        <w:rPr>
          <w:rFonts w:ascii="Arial" w:eastAsia="Times New Roman" w:hAnsi="Arial" w:cs="Arial"/>
          <w:b/>
          <w:bCs/>
          <w:sz w:val="20"/>
          <w:szCs w:val="20"/>
          <w:lang w:eastAsia="pt-BR"/>
        </w:rPr>
        <w:t>FUNDO MUNICIPAL DE APOSENTADORIA E PENSÃO DE FERNÃO</w:t>
      </w:r>
      <w:r w:rsidRPr="00B75C56">
        <w:rPr>
          <w:rFonts w:ascii="Arial" w:eastAsia="Times New Roman" w:hAnsi="Arial" w:cs="Arial"/>
          <w:sz w:val="20"/>
          <w:szCs w:val="20"/>
          <w:lang w:eastAsia="pt-BR"/>
        </w:rPr>
        <w:t>, no âmbito de classificação de investidor, considerando as variáveis:</w:t>
      </w:r>
    </w:p>
    <w:p w:rsidR="00B75C56" w:rsidRPr="00B75C56" w:rsidRDefault="00B75C56" w:rsidP="00B75C56">
      <w:pPr>
        <w:spacing w:before="240" w:after="100" w:afterAutospacing="1" w:line="240" w:lineRule="auto"/>
        <w:rPr>
          <w:rFonts w:ascii="Times New Roman" w:eastAsia="Times New Roman" w:hAnsi="Times New Roman" w:cs="Times New Roman"/>
          <w:color w:val="FF0000"/>
          <w:sz w:val="24"/>
          <w:szCs w:val="24"/>
          <w:lang w:eastAsia="pt-BR"/>
        </w:rPr>
      </w:pPr>
      <w:r w:rsidRPr="00B75C56">
        <w:rPr>
          <w:rFonts w:ascii="Arial" w:eastAsia="Times New Roman" w:hAnsi="Arial" w:cs="Arial"/>
          <w:color w:val="FF0000"/>
          <w:sz w:val="20"/>
          <w:szCs w:val="20"/>
          <w:lang w:eastAsia="pt-BR"/>
        </w:rPr>
        <w:t> </w:t>
      </w:r>
    </w:p>
    <w:tbl>
      <w:tblPr>
        <w:tblW w:w="0" w:type="auto"/>
        <w:jc w:val="center"/>
        <w:tblCellMar>
          <w:left w:w="0" w:type="dxa"/>
          <w:right w:w="0" w:type="dxa"/>
        </w:tblCellMar>
        <w:tblLook w:val="04A0"/>
      </w:tblPr>
      <w:tblGrid>
        <w:gridCol w:w="7263"/>
      </w:tblGrid>
      <w:tr w:rsidR="00B75C56" w:rsidRPr="00B75C56" w:rsidTr="00B75C56">
        <w:trPr>
          <w:trHeight w:val="465"/>
          <w:jc w:val="center"/>
        </w:trPr>
        <w:tc>
          <w:tcPr>
            <w:tcW w:w="7263" w:type="dxa"/>
            <w:tcBorders>
              <w:top w:val="nil"/>
              <w:left w:val="nil"/>
              <w:bottom w:val="single" w:sz="8" w:space="0" w:color="C9C9C9"/>
              <w:right w:val="nil"/>
            </w:tcBorders>
            <w:tcMar>
              <w:top w:w="0" w:type="dxa"/>
              <w:left w:w="108" w:type="dxa"/>
              <w:bottom w:w="0" w:type="dxa"/>
              <w:right w:w="108" w:type="dxa"/>
            </w:tcMar>
            <w:vAlign w:val="center"/>
            <w:hideMark/>
          </w:tcPr>
          <w:p w:rsidR="00B75C56" w:rsidRPr="00B75C56"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B75C56">
              <w:rPr>
                <w:rFonts w:ascii="Arial" w:eastAsia="Times New Roman" w:hAnsi="Arial" w:cs="Arial"/>
                <w:b/>
                <w:bCs/>
                <w:sz w:val="20"/>
                <w:szCs w:val="20"/>
                <w:lang w:eastAsia="pt-BR"/>
              </w:rPr>
              <w:t>PERFIL DE INVESTIDOR</w:t>
            </w:r>
          </w:p>
        </w:tc>
      </w:tr>
      <w:tr w:rsidR="00B75C56" w:rsidRPr="00B75C56" w:rsidTr="00B75C56">
        <w:trPr>
          <w:trHeight w:val="465"/>
          <w:jc w:val="center"/>
        </w:trPr>
        <w:tc>
          <w:tcPr>
            <w:tcW w:w="7263" w:type="dxa"/>
            <w:shd w:val="clear" w:color="auto" w:fill="EDEDED"/>
            <w:tcMar>
              <w:top w:w="0" w:type="dxa"/>
              <w:left w:w="108" w:type="dxa"/>
              <w:bottom w:w="0" w:type="dxa"/>
              <w:right w:w="108" w:type="dxa"/>
            </w:tcMar>
            <w:vAlign w:val="center"/>
            <w:hideMark/>
          </w:tcPr>
          <w:p w:rsidR="00B75C56" w:rsidRPr="004D5086" w:rsidRDefault="00B75C56" w:rsidP="00B75C56">
            <w:pPr>
              <w:spacing w:before="100" w:beforeAutospacing="1" w:after="0" w:line="240" w:lineRule="auto"/>
              <w:rPr>
                <w:rFonts w:ascii="Times New Roman" w:eastAsia="Times New Roman" w:hAnsi="Times New Roman" w:cs="Times New Roman"/>
                <w:sz w:val="24"/>
                <w:szCs w:val="24"/>
                <w:lang w:eastAsia="pt-BR"/>
              </w:rPr>
            </w:pPr>
            <w:r w:rsidRPr="004D5086">
              <w:rPr>
                <w:rFonts w:ascii="Arial" w:eastAsia="Times New Roman" w:hAnsi="Arial" w:cs="Arial"/>
                <w:b/>
                <w:bCs/>
                <w:sz w:val="20"/>
                <w:szCs w:val="20"/>
                <w:lang w:eastAsia="pt-BR"/>
              </w:rPr>
              <w:t>Patrimônio Líquido sob gestão (R$)</w:t>
            </w:r>
            <w:r w:rsidR="00B354B8" w:rsidRPr="004D5086">
              <w:rPr>
                <w:rFonts w:ascii="Arial" w:eastAsia="Times New Roman" w:hAnsi="Arial" w:cs="Arial"/>
                <w:b/>
                <w:bCs/>
                <w:sz w:val="20"/>
                <w:szCs w:val="20"/>
                <w:lang w:eastAsia="pt-BR"/>
              </w:rPr>
              <w:t xml:space="preserve">: </w:t>
            </w:r>
            <w:r w:rsidR="004D5086" w:rsidRPr="004D5086">
              <w:rPr>
                <w:rFonts w:ascii="Arial" w:eastAsia="Times New Roman" w:hAnsi="Arial" w:cs="Arial"/>
                <w:b/>
                <w:bCs/>
                <w:sz w:val="20"/>
                <w:szCs w:val="20"/>
                <w:lang w:eastAsia="pt-BR"/>
              </w:rPr>
              <w:t>21.685.167,01</w:t>
            </w:r>
          </w:p>
        </w:tc>
      </w:tr>
      <w:tr w:rsidR="00B75C56" w:rsidRPr="00B75C56" w:rsidTr="00B75C56">
        <w:trPr>
          <w:trHeight w:val="480"/>
          <w:jc w:val="center"/>
        </w:trPr>
        <w:tc>
          <w:tcPr>
            <w:tcW w:w="7263" w:type="dxa"/>
            <w:tcMar>
              <w:top w:w="0" w:type="dxa"/>
              <w:left w:w="108" w:type="dxa"/>
              <w:bottom w:w="0" w:type="dxa"/>
              <w:right w:w="108" w:type="dxa"/>
            </w:tcMar>
            <w:vAlign w:val="center"/>
            <w:hideMark/>
          </w:tcPr>
          <w:p w:rsidR="00B75C56" w:rsidRPr="00B75C56" w:rsidRDefault="00B75C56" w:rsidP="00F72638">
            <w:pPr>
              <w:spacing w:before="100" w:beforeAutospacing="1" w:after="0" w:line="240" w:lineRule="auto"/>
              <w:rPr>
                <w:rFonts w:ascii="Times New Roman" w:eastAsia="Times New Roman" w:hAnsi="Times New Roman" w:cs="Times New Roman"/>
                <w:sz w:val="24"/>
                <w:szCs w:val="24"/>
                <w:lang w:eastAsia="pt-BR"/>
              </w:rPr>
            </w:pPr>
            <w:r w:rsidRPr="00B75C56">
              <w:rPr>
                <w:rFonts w:ascii="Arial" w:eastAsia="Times New Roman" w:hAnsi="Arial" w:cs="Arial"/>
                <w:b/>
                <w:bCs/>
                <w:sz w:val="20"/>
                <w:szCs w:val="20"/>
                <w:lang w:eastAsia="pt-BR"/>
              </w:rPr>
              <w:t xml:space="preserve">Certificado de Regularidade Previdenciário </w:t>
            </w:r>
            <w:r w:rsidR="00B354B8" w:rsidRPr="00B354B8">
              <w:rPr>
                <w:rFonts w:ascii="Arial" w:eastAsia="Times New Roman" w:hAnsi="Arial" w:cs="Arial"/>
                <w:b/>
                <w:bCs/>
                <w:sz w:val="20"/>
                <w:szCs w:val="20"/>
                <w:lang w:eastAsia="pt-BR"/>
              </w:rPr>
              <w:t>–</w:t>
            </w:r>
            <w:r w:rsidRPr="00B75C56">
              <w:rPr>
                <w:rFonts w:ascii="Arial" w:eastAsia="Times New Roman" w:hAnsi="Arial" w:cs="Arial"/>
                <w:b/>
                <w:bCs/>
                <w:sz w:val="20"/>
                <w:szCs w:val="20"/>
                <w:lang w:eastAsia="pt-BR"/>
              </w:rPr>
              <w:t xml:space="preserve"> CRP</w:t>
            </w:r>
            <w:r w:rsidR="00B354B8" w:rsidRPr="00B354B8">
              <w:rPr>
                <w:rFonts w:ascii="Arial" w:eastAsia="Times New Roman" w:hAnsi="Arial" w:cs="Arial"/>
                <w:b/>
                <w:bCs/>
                <w:sz w:val="20"/>
                <w:szCs w:val="20"/>
                <w:lang w:eastAsia="pt-BR"/>
              </w:rPr>
              <w:t xml:space="preserve"> – </w:t>
            </w:r>
            <w:r w:rsidR="00F72638">
              <w:rPr>
                <w:rFonts w:ascii="Arial" w:eastAsia="Times New Roman" w:hAnsi="Arial" w:cs="Arial"/>
                <w:b/>
                <w:bCs/>
                <w:sz w:val="20"/>
                <w:szCs w:val="20"/>
                <w:lang w:eastAsia="pt-BR"/>
              </w:rPr>
              <w:t>Regular</w:t>
            </w:r>
            <w:r w:rsidR="00B354B8" w:rsidRPr="00B354B8">
              <w:rPr>
                <w:rFonts w:ascii="Arial" w:eastAsia="Times New Roman" w:hAnsi="Arial" w:cs="Arial"/>
                <w:b/>
                <w:bCs/>
                <w:sz w:val="20"/>
                <w:szCs w:val="20"/>
                <w:lang w:eastAsia="pt-BR"/>
              </w:rPr>
              <w:t xml:space="preserve"> 06/02/2021</w:t>
            </w:r>
          </w:p>
        </w:tc>
      </w:tr>
      <w:tr w:rsidR="00B75C56" w:rsidRPr="00B75C56" w:rsidTr="00B75C56">
        <w:trPr>
          <w:trHeight w:val="465"/>
          <w:jc w:val="center"/>
        </w:trPr>
        <w:tc>
          <w:tcPr>
            <w:tcW w:w="7263" w:type="dxa"/>
            <w:shd w:val="clear" w:color="auto" w:fill="EDEDED"/>
            <w:tcMar>
              <w:top w:w="0" w:type="dxa"/>
              <w:left w:w="108" w:type="dxa"/>
              <w:bottom w:w="0" w:type="dxa"/>
              <w:right w:w="108" w:type="dxa"/>
            </w:tcMar>
            <w:vAlign w:val="center"/>
            <w:hideMark/>
          </w:tcPr>
          <w:p w:rsidR="00B75C56" w:rsidRPr="00F72638" w:rsidRDefault="00B75C56" w:rsidP="00F72638">
            <w:pPr>
              <w:spacing w:before="100" w:beforeAutospacing="1" w:after="0" w:line="240" w:lineRule="auto"/>
              <w:rPr>
                <w:rFonts w:ascii="Times New Roman" w:eastAsia="Times New Roman" w:hAnsi="Times New Roman" w:cs="Times New Roman"/>
                <w:sz w:val="24"/>
                <w:szCs w:val="24"/>
                <w:lang w:eastAsia="pt-BR"/>
              </w:rPr>
            </w:pPr>
            <w:r w:rsidRPr="00F72638">
              <w:rPr>
                <w:rFonts w:ascii="Arial" w:eastAsia="Times New Roman" w:hAnsi="Arial" w:cs="Arial"/>
                <w:b/>
                <w:bCs/>
                <w:sz w:val="20"/>
                <w:szCs w:val="20"/>
                <w:lang w:eastAsia="pt-BR"/>
              </w:rPr>
              <w:t>Comitê de Investimentos</w:t>
            </w:r>
            <w:r w:rsidR="00B354B8" w:rsidRPr="00F72638">
              <w:rPr>
                <w:rFonts w:ascii="Arial" w:eastAsia="Times New Roman" w:hAnsi="Arial" w:cs="Arial"/>
                <w:b/>
                <w:bCs/>
                <w:sz w:val="20"/>
                <w:szCs w:val="20"/>
                <w:lang w:eastAsia="pt-BR"/>
              </w:rPr>
              <w:t xml:space="preserve"> - </w:t>
            </w:r>
            <w:r w:rsidR="00F72638" w:rsidRPr="00F72638">
              <w:rPr>
                <w:rFonts w:ascii="Arial" w:eastAsia="Times New Roman" w:hAnsi="Arial" w:cs="Arial"/>
                <w:b/>
                <w:bCs/>
                <w:sz w:val="20"/>
                <w:szCs w:val="20"/>
                <w:lang w:eastAsia="pt-BR"/>
              </w:rPr>
              <w:t>Ativo</w:t>
            </w:r>
          </w:p>
        </w:tc>
      </w:tr>
      <w:tr w:rsidR="00B75C56" w:rsidRPr="00B75C56" w:rsidTr="00B75C56">
        <w:trPr>
          <w:trHeight w:val="465"/>
          <w:jc w:val="center"/>
        </w:trPr>
        <w:tc>
          <w:tcPr>
            <w:tcW w:w="7263" w:type="dxa"/>
            <w:tcMar>
              <w:top w:w="0" w:type="dxa"/>
              <w:left w:w="108" w:type="dxa"/>
              <w:bottom w:w="0" w:type="dxa"/>
              <w:right w:w="108" w:type="dxa"/>
            </w:tcMar>
            <w:vAlign w:val="center"/>
            <w:hideMark/>
          </w:tcPr>
          <w:p w:rsidR="00B75C56" w:rsidRPr="00F72638" w:rsidRDefault="00B75C56" w:rsidP="00F72638">
            <w:pPr>
              <w:spacing w:before="100" w:beforeAutospacing="1" w:after="0" w:line="240" w:lineRule="auto"/>
              <w:rPr>
                <w:rFonts w:ascii="Times New Roman" w:eastAsia="Times New Roman" w:hAnsi="Times New Roman" w:cs="Times New Roman"/>
                <w:sz w:val="24"/>
                <w:szCs w:val="24"/>
                <w:lang w:eastAsia="pt-BR"/>
              </w:rPr>
            </w:pPr>
            <w:r w:rsidRPr="00F72638">
              <w:rPr>
                <w:rFonts w:ascii="Arial" w:eastAsia="Times New Roman" w:hAnsi="Arial" w:cs="Arial"/>
                <w:b/>
                <w:bCs/>
                <w:sz w:val="20"/>
                <w:szCs w:val="20"/>
                <w:lang w:eastAsia="pt-BR"/>
              </w:rPr>
              <w:t>Adesão ao Pró-Gestão</w:t>
            </w:r>
            <w:r w:rsidR="00B354B8" w:rsidRPr="00F72638">
              <w:rPr>
                <w:rFonts w:ascii="Arial" w:eastAsia="Times New Roman" w:hAnsi="Arial" w:cs="Arial"/>
                <w:b/>
                <w:bCs/>
                <w:sz w:val="20"/>
                <w:szCs w:val="20"/>
                <w:lang w:eastAsia="pt-BR"/>
              </w:rPr>
              <w:t xml:space="preserve"> - </w:t>
            </w:r>
            <w:r w:rsidR="00F72638" w:rsidRPr="00F72638">
              <w:rPr>
                <w:rFonts w:ascii="Arial" w:eastAsia="Times New Roman" w:hAnsi="Arial" w:cs="Arial"/>
                <w:b/>
                <w:bCs/>
                <w:sz w:val="20"/>
                <w:szCs w:val="20"/>
                <w:lang w:eastAsia="pt-BR"/>
              </w:rPr>
              <w:t>Não</w:t>
            </w:r>
          </w:p>
        </w:tc>
      </w:tr>
      <w:tr w:rsidR="00B75C56" w:rsidRPr="00B75C56" w:rsidTr="00B75C56">
        <w:trPr>
          <w:trHeight w:val="480"/>
          <w:jc w:val="center"/>
        </w:trPr>
        <w:tc>
          <w:tcPr>
            <w:tcW w:w="7263" w:type="dxa"/>
            <w:shd w:val="clear" w:color="auto" w:fill="EDEDED"/>
            <w:tcMar>
              <w:top w:w="0" w:type="dxa"/>
              <w:left w:w="108" w:type="dxa"/>
              <w:bottom w:w="0" w:type="dxa"/>
              <w:right w:w="108" w:type="dxa"/>
            </w:tcMar>
            <w:vAlign w:val="center"/>
            <w:hideMark/>
          </w:tcPr>
          <w:p w:rsidR="00B75C56" w:rsidRPr="00F72638" w:rsidRDefault="00B75C56" w:rsidP="00F72638">
            <w:pPr>
              <w:spacing w:before="100" w:beforeAutospacing="1" w:after="0" w:line="240" w:lineRule="auto"/>
              <w:rPr>
                <w:rFonts w:ascii="Times New Roman" w:eastAsia="Times New Roman" w:hAnsi="Times New Roman" w:cs="Times New Roman"/>
                <w:sz w:val="24"/>
                <w:szCs w:val="24"/>
                <w:lang w:eastAsia="pt-BR"/>
              </w:rPr>
            </w:pPr>
            <w:r w:rsidRPr="00F72638">
              <w:rPr>
                <w:rFonts w:ascii="Arial" w:eastAsia="Times New Roman" w:hAnsi="Arial" w:cs="Arial"/>
                <w:b/>
                <w:bCs/>
                <w:sz w:val="20"/>
                <w:szCs w:val="20"/>
                <w:lang w:eastAsia="pt-BR"/>
              </w:rPr>
              <w:t>Nível de Aderência ao Pró-Gestão</w:t>
            </w:r>
            <w:r w:rsidR="00B354B8" w:rsidRPr="00F72638">
              <w:rPr>
                <w:rFonts w:ascii="Arial" w:eastAsia="Times New Roman" w:hAnsi="Arial" w:cs="Arial"/>
                <w:b/>
                <w:bCs/>
                <w:sz w:val="20"/>
                <w:szCs w:val="20"/>
                <w:lang w:eastAsia="pt-BR"/>
              </w:rPr>
              <w:t xml:space="preserve"> - </w:t>
            </w:r>
            <w:r w:rsidR="00F72638" w:rsidRPr="00F72638">
              <w:rPr>
                <w:rFonts w:ascii="Arial" w:eastAsia="Times New Roman" w:hAnsi="Arial" w:cs="Arial"/>
                <w:b/>
                <w:bCs/>
                <w:sz w:val="20"/>
                <w:szCs w:val="20"/>
                <w:lang w:eastAsia="pt-BR"/>
              </w:rPr>
              <w:t>Não</w:t>
            </w:r>
          </w:p>
        </w:tc>
      </w:tr>
      <w:tr w:rsidR="00B75C56" w:rsidRPr="00B75C56" w:rsidTr="00B75C56">
        <w:trPr>
          <w:trHeight w:val="465"/>
          <w:jc w:val="center"/>
        </w:trPr>
        <w:tc>
          <w:tcPr>
            <w:tcW w:w="7263" w:type="dxa"/>
            <w:tcMar>
              <w:top w:w="0" w:type="dxa"/>
              <w:left w:w="108" w:type="dxa"/>
              <w:bottom w:w="0" w:type="dxa"/>
              <w:right w:w="108" w:type="dxa"/>
            </w:tcMar>
            <w:vAlign w:val="center"/>
            <w:hideMark/>
          </w:tcPr>
          <w:p w:rsidR="00B75C56" w:rsidRPr="00F72638" w:rsidRDefault="00B75C56" w:rsidP="00F72638">
            <w:pPr>
              <w:spacing w:before="100" w:beforeAutospacing="1" w:after="0" w:line="240" w:lineRule="auto"/>
              <w:rPr>
                <w:rFonts w:ascii="Times New Roman" w:eastAsia="Times New Roman" w:hAnsi="Times New Roman" w:cs="Times New Roman"/>
                <w:sz w:val="24"/>
                <w:szCs w:val="24"/>
                <w:lang w:eastAsia="pt-BR"/>
              </w:rPr>
            </w:pPr>
            <w:r w:rsidRPr="00F72638">
              <w:rPr>
                <w:rFonts w:ascii="Arial" w:eastAsia="Times New Roman" w:hAnsi="Arial" w:cs="Arial"/>
                <w:b/>
                <w:bCs/>
                <w:sz w:val="20"/>
                <w:szCs w:val="20"/>
                <w:lang w:eastAsia="pt-BR"/>
              </w:rPr>
              <w:t>Vencimento da Certificação</w:t>
            </w:r>
            <w:r w:rsidR="00B354B8" w:rsidRPr="00F72638">
              <w:rPr>
                <w:rFonts w:ascii="Arial" w:eastAsia="Times New Roman" w:hAnsi="Arial" w:cs="Arial"/>
                <w:b/>
                <w:bCs/>
                <w:sz w:val="20"/>
                <w:szCs w:val="20"/>
                <w:lang w:eastAsia="pt-BR"/>
              </w:rPr>
              <w:t xml:space="preserve"> - </w:t>
            </w:r>
            <w:r w:rsidR="00F72638" w:rsidRPr="00F72638">
              <w:rPr>
                <w:rFonts w:ascii="Arial" w:eastAsia="Times New Roman" w:hAnsi="Arial" w:cs="Arial"/>
                <w:b/>
                <w:bCs/>
                <w:sz w:val="20"/>
                <w:szCs w:val="20"/>
                <w:lang w:eastAsia="pt-BR"/>
              </w:rPr>
              <w:t>Não</w:t>
            </w:r>
          </w:p>
        </w:tc>
      </w:tr>
      <w:tr w:rsidR="00B75C56" w:rsidRPr="00B75C56" w:rsidTr="00B354B8">
        <w:trPr>
          <w:trHeight w:val="581"/>
          <w:jc w:val="center"/>
        </w:trPr>
        <w:tc>
          <w:tcPr>
            <w:tcW w:w="7263" w:type="dxa"/>
            <w:shd w:val="clear" w:color="auto" w:fill="EDEDED"/>
            <w:tcMar>
              <w:top w:w="0" w:type="dxa"/>
              <w:left w:w="108" w:type="dxa"/>
              <w:bottom w:w="0" w:type="dxa"/>
              <w:right w:w="108" w:type="dxa"/>
            </w:tcMar>
            <w:vAlign w:val="center"/>
            <w:hideMark/>
          </w:tcPr>
          <w:p w:rsidR="00B75C56" w:rsidRPr="00F72638" w:rsidRDefault="00B75C56" w:rsidP="00F72638">
            <w:pPr>
              <w:spacing w:before="100" w:beforeAutospacing="1" w:after="0" w:line="240" w:lineRule="auto"/>
              <w:jc w:val="both"/>
              <w:rPr>
                <w:rFonts w:ascii="Times New Roman" w:eastAsia="Times New Roman" w:hAnsi="Times New Roman" w:cs="Times New Roman"/>
                <w:sz w:val="24"/>
                <w:szCs w:val="24"/>
                <w:lang w:eastAsia="pt-BR"/>
              </w:rPr>
            </w:pPr>
            <w:r w:rsidRPr="00F72638">
              <w:rPr>
                <w:rFonts w:ascii="Arial" w:eastAsia="Times New Roman" w:hAnsi="Arial" w:cs="Arial"/>
                <w:b/>
                <w:bCs/>
                <w:sz w:val="20"/>
                <w:szCs w:val="20"/>
                <w:lang w:eastAsia="pt-BR"/>
              </w:rPr>
              <w:t>Categoria de Investidor</w:t>
            </w:r>
            <w:r w:rsidR="00B354B8" w:rsidRPr="00F72638">
              <w:rPr>
                <w:rFonts w:ascii="Arial" w:eastAsia="Times New Roman" w:hAnsi="Arial" w:cs="Arial"/>
                <w:b/>
                <w:bCs/>
                <w:sz w:val="20"/>
                <w:szCs w:val="20"/>
                <w:lang w:eastAsia="pt-BR"/>
              </w:rPr>
              <w:t xml:space="preserve"> – Investid</w:t>
            </w:r>
            <w:r w:rsidR="00F72638" w:rsidRPr="00F72638">
              <w:rPr>
                <w:rFonts w:ascii="Arial" w:eastAsia="Times New Roman" w:hAnsi="Arial" w:cs="Arial"/>
                <w:b/>
                <w:bCs/>
                <w:sz w:val="20"/>
                <w:szCs w:val="20"/>
                <w:lang w:eastAsia="pt-BR"/>
              </w:rPr>
              <w:t>or qualificado sem adesão ao Pró</w:t>
            </w:r>
            <w:r w:rsidR="00B354B8" w:rsidRPr="00F72638">
              <w:rPr>
                <w:rFonts w:ascii="Arial" w:eastAsia="Times New Roman" w:hAnsi="Arial" w:cs="Arial"/>
                <w:b/>
                <w:bCs/>
                <w:sz w:val="20"/>
                <w:szCs w:val="20"/>
                <w:lang w:eastAsia="pt-BR"/>
              </w:rPr>
              <w:t>-Gestão</w:t>
            </w:r>
          </w:p>
        </w:tc>
      </w:tr>
    </w:tbl>
    <w:p w:rsidR="00B75C56" w:rsidRPr="00B75C56" w:rsidRDefault="00B75C56" w:rsidP="00B75C56">
      <w:pPr>
        <w:spacing w:before="240" w:after="100" w:afterAutospacing="1" w:line="240" w:lineRule="auto"/>
        <w:rPr>
          <w:rFonts w:ascii="Times New Roman" w:eastAsia="Times New Roman" w:hAnsi="Times New Roman" w:cs="Times New Roman"/>
          <w:color w:val="FF0000"/>
          <w:sz w:val="24"/>
          <w:szCs w:val="24"/>
          <w:lang w:eastAsia="pt-BR"/>
        </w:rPr>
      </w:pPr>
      <w:r w:rsidRPr="00B75C56">
        <w:rPr>
          <w:rFonts w:ascii="Arial" w:eastAsia="Times New Roman" w:hAnsi="Arial" w:cs="Arial"/>
          <w:color w:val="FF0000"/>
          <w:sz w:val="20"/>
          <w:szCs w:val="20"/>
          <w:lang w:eastAsia="pt-BR"/>
        </w:rPr>
        <w:t> </w:t>
      </w:r>
    </w:p>
    <w:p w:rsidR="00B75C56" w:rsidRPr="00F72638" w:rsidRDefault="00B75C56" w:rsidP="00F72638">
      <w:pPr>
        <w:spacing w:before="240" w:after="100" w:afterAutospacing="1" w:line="240" w:lineRule="auto"/>
        <w:jc w:val="both"/>
        <w:rPr>
          <w:rFonts w:ascii="Times New Roman" w:eastAsia="Times New Roman" w:hAnsi="Times New Roman" w:cs="Times New Roman"/>
          <w:sz w:val="24"/>
          <w:szCs w:val="24"/>
          <w:lang w:eastAsia="pt-BR"/>
        </w:rPr>
      </w:pPr>
      <w:r w:rsidRPr="00F72638">
        <w:rPr>
          <w:rFonts w:ascii="Arial" w:eastAsia="Times New Roman" w:hAnsi="Arial" w:cs="Arial"/>
          <w:sz w:val="20"/>
          <w:szCs w:val="20"/>
          <w:lang w:eastAsia="pt-BR"/>
        </w:rPr>
        <w:t xml:space="preserve">Segundo disposto na Instrução CVM n° 554/2014 e Portaria MPS n° 300 de 03 de julho de 2015 e alterações, fica definido que os Regimes Próprios de Previdência </w:t>
      </w:r>
      <w:proofErr w:type="gramStart"/>
      <w:r w:rsidRPr="00F72638">
        <w:rPr>
          <w:rFonts w:ascii="Arial" w:eastAsia="Times New Roman" w:hAnsi="Arial" w:cs="Arial"/>
          <w:sz w:val="20"/>
          <w:szCs w:val="20"/>
          <w:lang w:eastAsia="pt-BR"/>
        </w:rPr>
        <w:t>Social classificados</w:t>
      </w:r>
      <w:proofErr w:type="gramEnd"/>
      <w:r w:rsidRPr="00F72638">
        <w:rPr>
          <w:rFonts w:ascii="Arial" w:eastAsia="Times New Roman" w:hAnsi="Arial" w:cs="Arial"/>
          <w:sz w:val="20"/>
          <w:szCs w:val="20"/>
          <w:lang w:eastAsia="pt-BR"/>
        </w:rPr>
        <w:t xml:space="preserve"> como Investidores Qualificados deverão apresentar cumulativamente:</w:t>
      </w:r>
    </w:p>
    <w:p w:rsidR="00B75C56" w:rsidRPr="00F72638" w:rsidRDefault="00B75C56" w:rsidP="00F72638">
      <w:pPr>
        <w:spacing w:before="240" w:after="100" w:afterAutospacing="1" w:line="240" w:lineRule="auto"/>
        <w:jc w:val="both"/>
        <w:rPr>
          <w:rFonts w:ascii="Times New Roman" w:eastAsia="Times New Roman" w:hAnsi="Times New Roman" w:cs="Times New Roman"/>
          <w:sz w:val="24"/>
          <w:szCs w:val="24"/>
          <w:lang w:eastAsia="pt-BR"/>
        </w:rPr>
      </w:pPr>
      <w:r w:rsidRPr="00F72638">
        <w:rPr>
          <w:rFonts w:ascii="Arial" w:eastAsia="Times New Roman" w:hAnsi="Arial" w:cs="Arial"/>
          <w:sz w:val="20"/>
          <w:szCs w:val="20"/>
          <w:lang w:eastAsia="pt-BR"/>
        </w:rPr>
        <w:t>a) Certificado de Regularidade Previdenciário - CRP vigente na data da realização de cada aplicação exclusiva para tal categoria de investidor;</w:t>
      </w:r>
    </w:p>
    <w:p w:rsidR="00B75C56" w:rsidRPr="00F72638" w:rsidRDefault="00B75C56" w:rsidP="00F72638">
      <w:pPr>
        <w:spacing w:before="240" w:after="160" w:line="240" w:lineRule="auto"/>
        <w:jc w:val="both"/>
        <w:rPr>
          <w:rFonts w:ascii="Times New Roman" w:eastAsia="Times New Roman" w:hAnsi="Times New Roman" w:cs="Times New Roman"/>
          <w:sz w:val="24"/>
          <w:szCs w:val="24"/>
          <w:lang w:eastAsia="pt-BR"/>
        </w:rPr>
      </w:pPr>
      <w:r w:rsidRPr="00F72638">
        <w:rPr>
          <w:rFonts w:ascii="Arial" w:eastAsia="Times New Roman" w:hAnsi="Arial" w:cs="Arial"/>
          <w:sz w:val="20"/>
          <w:szCs w:val="20"/>
          <w:lang w:eastAsia="pt-BR"/>
        </w:rPr>
        <w:t>b) Possua recursos aplicados comprovados por Demonstrativo das Aplicações e Investimentos dos Recursos - DAIR o montante de R$ 10.000.000,00 (dez milhões de reais);</w:t>
      </w:r>
    </w:p>
    <w:p w:rsidR="00B75C56" w:rsidRPr="00F72638" w:rsidRDefault="00B75C56" w:rsidP="00F72638">
      <w:pPr>
        <w:spacing w:before="240" w:after="160" w:line="240" w:lineRule="auto"/>
        <w:jc w:val="both"/>
        <w:rPr>
          <w:rFonts w:ascii="Times New Roman" w:eastAsia="Times New Roman" w:hAnsi="Times New Roman" w:cs="Times New Roman"/>
          <w:sz w:val="24"/>
          <w:szCs w:val="24"/>
          <w:lang w:eastAsia="pt-BR"/>
        </w:rPr>
      </w:pPr>
      <w:r w:rsidRPr="00F72638">
        <w:rPr>
          <w:rFonts w:ascii="Arial" w:eastAsia="Times New Roman" w:hAnsi="Arial" w:cs="Arial"/>
          <w:sz w:val="20"/>
          <w:szCs w:val="20"/>
          <w:lang w:eastAsia="pt-BR"/>
        </w:rPr>
        <w:t>c) Comprove o efetivo funcionamento do Comitê de Investimentos e</w:t>
      </w:r>
    </w:p>
    <w:p w:rsidR="00B75C56" w:rsidRPr="00F72638" w:rsidRDefault="00B75C56" w:rsidP="00F72638">
      <w:pPr>
        <w:spacing w:before="240" w:after="160" w:line="240" w:lineRule="auto"/>
        <w:jc w:val="both"/>
        <w:rPr>
          <w:rFonts w:ascii="Times New Roman" w:eastAsia="Times New Roman" w:hAnsi="Times New Roman" w:cs="Times New Roman"/>
          <w:sz w:val="24"/>
          <w:szCs w:val="24"/>
          <w:lang w:eastAsia="pt-BR"/>
        </w:rPr>
      </w:pPr>
      <w:r w:rsidRPr="00F72638">
        <w:rPr>
          <w:rFonts w:ascii="Arial" w:eastAsia="Times New Roman" w:hAnsi="Arial" w:cs="Arial"/>
          <w:sz w:val="20"/>
          <w:szCs w:val="20"/>
          <w:lang w:eastAsia="pt-BR"/>
        </w:rPr>
        <w:t>d) Tenha aderido ao Programa de Certificação Institucional Pró-Gestão.</w:t>
      </w:r>
    </w:p>
    <w:p w:rsidR="00B75C56" w:rsidRPr="002514F3" w:rsidRDefault="00B75C56" w:rsidP="002514F3">
      <w:pPr>
        <w:spacing w:before="240" w:after="100" w:afterAutospacing="1" w:line="240" w:lineRule="auto"/>
        <w:jc w:val="both"/>
        <w:rPr>
          <w:rFonts w:ascii="Times New Roman" w:eastAsia="Times New Roman" w:hAnsi="Times New Roman" w:cs="Times New Roman"/>
          <w:sz w:val="24"/>
          <w:szCs w:val="24"/>
          <w:lang w:eastAsia="pt-BR"/>
        </w:rPr>
      </w:pPr>
      <w:r w:rsidRPr="002514F3">
        <w:rPr>
          <w:rFonts w:ascii="Arial" w:eastAsia="Times New Roman" w:hAnsi="Arial" w:cs="Arial"/>
          <w:sz w:val="20"/>
          <w:szCs w:val="20"/>
          <w:lang w:eastAsia="pt-BR"/>
        </w:rPr>
        <w:lastRenderedPageBreak/>
        <w:t>Na classificação como Investidor Profissional, fica o RPPS condicionado as mesmas condições cumulativas, sendo o item "d" como sendo: "tenha aderido ao Programa de Certificação Institucional Pró-Gestão e obtido a certificação institucional no 4° nível de aderência, ou seja, Nível IV de adesão.</w:t>
      </w:r>
    </w:p>
    <w:p w:rsidR="00B75C56" w:rsidRPr="00547F93" w:rsidRDefault="00B75C56" w:rsidP="002514F3">
      <w:pPr>
        <w:spacing w:before="240" w:after="100" w:afterAutospacing="1" w:line="240" w:lineRule="auto"/>
        <w:jc w:val="both"/>
        <w:rPr>
          <w:rFonts w:ascii="Times New Roman" w:eastAsia="Times New Roman" w:hAnsi="Times New Roman" w:cs="Times New Roman"/>
          <w:sz w:val="24"/>
          <w:szCs w:val="24"/>
          <w:lang w:eastAsia="pt-BR"/>
        </w:rPr>
      </w:pPr>
      <w:r w:rsidRPr="00547F93">
        <w:rPr>
          <w:rFonts w:ascii="Arial" w:eastAsia="Times New Roman" w:hAnsi="Arial" w:cs="Arial"/>
          <w:sz w:val="20"/>
          <w:szCs w:val="20"/>
          <w:lang w:eastAsia="pt-BR"/>
        </w:rPr>
        <w:t xml:space="preserve">O </w:t>
      </w:r>
      <w:r w:rsidRPr="00547F93">
        <w:rPr>
          <w:rFonts w:ascii="Arial" w:eastAsia="Times New Roman" w:hAnsi="Arial" w:cs="Arial"/>
          <w:b/>
          <w:bCs/>
          <w:sz w:val="20"/>
          <w:szCs w:val="20"/>
          <w:lang w:eastAsia="pt-BR"/>
        </w:rPr>
        <w:t>FUNDO MUNICIPAL DE APOSENTADORIA E PENSÃO DE FERNÃO</w:t>
      </w:r>
      <w:r w:rsidRPr="00547F93">
        <w:rPr>
          <w:rFonts w:ascii="Arial" w:eastAsia="Times New Roman" w:hAnsi="Arial" w:cs="Arial"/>
          <w:sz w:val="20"/>
          <w:szCs w:val="20"/>
          <w:lang w:eastAsia="pt-BR"/>
        </w:rPr>
        <w:t xml:space="preserve">, no momento da elaboração e aprovação da Política de Investimentos para o exercício de 2021 está classificado como </w:t>
      </w:r>
      <w:r w:rsidR="002514F3" w:rsidRPr="00547F93">
        <w:rPr>
          <w:rFonts w:ascii="Arial" w:eastAsia="Times New Roman" w:hAnsi="Arial" w:cs="Arial"/>
          <w:b/>
          <w:bCs/>
          <w:sz w:val="20"/>
          <w:szCs w:val="20"/>
          <w:lang w:eastAsia="pt-BR"/>
        </w:rPr>
        <w:t xml:space="preserve">Investidor </w:t>
      </w:r>
      <w:r w:rsidR="00547F93" w:rsidRPr="00547F93">
        <w:rPr>
          <w:rFonts w:ascii="Arial" w:eastAsia="Times New Roman" w:hAnsi="Arial" w:cs="Arial"/>
          <w:b/>
          <w:bCs/>
          <w:sz w:val="20"/>
          <w:szCs w:val="20"/>
          <w:lang w:eastAsia="pt-BR"/>
        </w:rPr>
        <w:t xml:space="preserve">Qualificado Sem Adesão ao Pró-Gestão. </w:t>
      </w:r>
    </w:p>
    <w:p w:rsidR="00B75C56" w:rsidRPr="00B75C56" w:rsidRDefault="00B75C56" w:rsidP="00B75C56">
      <w:pPr>
        <w:spacing w:before="240" w:after="100" w:afterAutospacing="1" w:line="240" w:lineRule="auto"/>
        <w:rPr>
          <w:rFonts w:ascii="Times New Roman" w:eastAsia="Times New Roman" w:hAnsi="Times New Roman" w:cs="Times New Roman"/>
          <w:color w:val="FF0000"/>
          <w:sz w:val="24"/>
          <w:szCs w:val="24"/>
          <w:lang w:eastAsia="pt-BR"/>
        </w:rPr>
      </w:pPr>
      <w:r w:rsidRPr="00B75C56">
        <w:rPr>
          <w:rFonts w:ascii="Arial" w:eastAsia="Times New Roman" w:hAnsi="Arial" w:cs="Arial"/>
          <w:color w:val="FF0000"/>
          <w:sz w:val="20"/>
          <w:szCs w:val="20"/>
          <w:lang w:eastAsia="pt-BR"/>
        </w:rPr>
        <w:t> </w:t>
      </w:r>
    </w:p>
    <w:p w:rsidR="00B75C56" w:rsidRPr="00D41D88" w:rsidRDefault="00B75C56" w:rsidP="00B75C56">
      <w:pPr>
        <w:spacing w:before="100" w:beforeAutospacing="1" w:after="240" w:line="240" w:lineRule="auto"/>
        <w:outlineLvl w:val="0"/>
        <w:rPr>
          <w:rFonts w:ascii="Times New Roman" w:eastAsia="Times New Roman" w:hAnsi="Times New Roman" w:cs="Times New Roman"/>
          <w:b/>
          <w:bCs/>
          <w:kern w:val="36"/>
          <w:sz w:val="48"/>
          <w:szCs w:val="48"/>
          <w:lang w:eastAsia="pt-BR"/>
        </w:rPr>
      </w:pPr>
      <w:bookmarkStart w:id="6" w:name="_Toc490036540"/>
      <w:bookmarkStart w:id="7" w:name="_Toc20130590"/>
      <w:bookmarkStart w:id="8" w:name="_Toc435202738"/>
      <w:bookmarkEnd w:id="6"/>
      <w:bookmarkEnd w:id="7"/>
      <w:proofErr w:type="gramStart"/>
      <w:r w:rsidRPr="00D41D88">
        <w:rPr>
          <w:rFonts w:ascii="Arial" w:eastAsia="Times New Roman" w:hAnsi="Arial" w:cs="Arial"/>
          <w:b/>
          <w:bCs/>
          <w:kern w:val="36"/>
          <w:lang w:eastAsia="pt-BR"/>
        </w:rPr>
        <w:t>4</w:t>
      </w:r>
      <w:proofErr w:type="gramEnd"/>
      <w:r w:rsidRPr="00D41D88">
        <w:rPr>
          <w:rFonts w:ascii="Times New Roman" w:eastAsia="Times New Roman" w:hAnsi="Times New Roman" w:cs="Times New Roman"/>
          <w:b/>
          <w:bCs/>
          <w:kern w:val="36"/>
          <w:sz w:val="14"/>
          <w:szCs w:val="14"/>
          <w:lang w:eastAsia="pt-BR"/>
        </w:rPr>
        <w:t xml:space="preserve">       </w:t>
      </w:r>
      <w:r w:rsidRPr="00D41D88">
        <w:rPr>
          <w:rFonts w:ascii="Arial" w:eastAsia="Times New Roman" w:hAnsi="Arial" w:cs="Arial"/>
          <w:b/>
          <w:bCs/>
          <w:kern w:val="36"/>
          <w:lang w:eastAsia="pt-BR"/>
        </w:rPr>
        <w:t>CENÁRIO ECONÔMICO</w:t>
      </w:r>
      <w:bookmarkStart w:id="9" w:name="_Toc435202739"/>
      <w:bookmarkEnd w:id="8"/>
      <w:bookmarkEnd w:id="9"/>
    </w:p>
    <w:p w:rsidR="00B75C56" w:rsidRPr="00D41D88" w:rsidRDefault="00B75C56" w:rsidP="00B75C56">
      <w:pPr>
        <w:spacing w:before="240" w:after="100" w:afterAutospacing="1" w:line="240" w:lineRule="auto"/>
        <w:rPr>
          <w:rFonts w:ascii="Times New Roman" w:eastAsia="Times New Roman" w:hAnsi="Times New Roman" w:cs="Times New Roman"/>
          <w:sz w:val="24"/>
          <w:szCs w:val="24"/>
          <w:lang w:eastAsia="pt-BR"/>
        </w:rPr>
      </w:pPr>
      <w:bookmarkStart w:id="10" w:name="_Toc20130591"/>
      <w:bookmarkEnd w:id="10"/>
      <w:r w:rsidRPr="00D41D88">
        <w:rPr>
          <w:rFonts w:ascii="Arial" w:eastAsia="Times New Roman" w:hAnsi="Arial" w:cs="Arial"/>
          <w:b/>
          <w:bCs/>
          <w:sz w:val="20"/>
          <w:szCs w:val="20"/>
          <w:lang w:eastAsia="pt-BR"/>
        </w:rPr>
        <w:t>RESUMO GERAL</w:t>
      </w:r>
    </w:p>
    <w:p w:rsidR="00B75C56" w:rsidRPr="00D41D88" w:rsidRDefault="00B75C56" w:rsidP="00D41D88">
      <w:pPr>
        <w:spacing w:before="240" w:after="100" w:afterAutospacing="1" w:line="240" w:lineRule="auto"/>
        <w:jc w:val="both"/>
        <w:rPr>
          <w:rFonts w:ascii="Times New Roman" w:eastAsia="Times New Roman" w:hAnsi="Times New Roman" w:cs="Times New Roman"/>
          <w:sz w:val="24"/>
          <w:szCs w:val="24"/>
          <w:lang w:eastAsia="pt-BR"/>
        </w:rPr>
      </w:pPr>
      <w:r w:rsidRPr="00D41D88">
        <w:rPr>
          <w:rFonts w:ascii="Arial" w:eastAsia="Times New Roman" w:hAnsi="Arial" w:cs="Arial"/>
          <w:sz w:val="20"/>
          <w:szCs w:val="20"/>
          <w:lang w:eastAsia="pt-BR"/>
        </w:rPr>
        <w:t xml:space="preserve">O 1º semestre de 2020 será lembrado por muito tempo como o período que mais trouxe incertezas em escala global, o novo </w:t>
      </w:r>
      <w:proofErr w:type="spellStart"/>
      <w:r w:rsidRPr="00D41D88">
        <w:rPr>
          <w:rFonts w:ascii="Arial" w:eastAsia="Times New Roman" w:hAnsi="Arial" w:cs="Arial"/>
          <w:sz w:val="20"/>
          <w:szCs w:val="20"/>
          <w:lang w:eastAsia="pt-BR"/>
        </w:rPr>
        <w:t>corona-vírus</w:t>
      </w:r>
      <w:proofErr w:type="spellEnd"/>
      <w:r w:rsidRPr="00D41D88">
        <w:rPr>
          <w:rFonts w:ascii="Arial" w:eastAsia="Times New Roman" w:hAnsi="Arial" w:cs="Arial"/>
          <w:sz w:val="20"/>
          <w:szCs w:val="20"/>
          <w:lang w:eastAsia="pt-BR"/>
        </w:rPr>
        <w:t xml:space="preserve"> inicialmente descoberto na china, se alastrou pelo resto do mundo com uma velocidade sem precedentes. </w:t>
      </w:r>
    </w:p>
    <w:p w:rsidR="00B75C56" w:rsidRPr="00D41D88" w:rsidRDefault="00B75C56" w:rsidP="00D41D88">
      <w:pPr>
        <w:spacing w:before="240" w:after="100" w:afterAutospacing="1" w:line="240" w:lineRule="auto"/>
        <w:jc w:val="both"/>
        <w:rPr>
          <w:rFonts w:ascii="Times New Roman" w:eastAsia="Times New Roman" w:hAnsi="Times New Roman" w:cs="Times New Roman"/>
          <w:sz w:val="24"/>
          <w:szCs w:val="24"/>
          <w:lang w:eastAsia="pt-BR"/>
        </w:rPr>
      </w:pPr>
      <w:r w:rsidRPr="00D41D88">
        <w:rPr>
          <w:rFonts w:ascii="Arial" w:eastAsia="Times New Roman" w:hAnsi="Arial" w:cs="Arial"/>
          <w:sz w:val="20"/>
          <w:szCs w:val="20"/>
          <w:lang w:eastAsia="pt-BR"/>
        </w:rPr>
        <w:t xml:space="preserve">O vírus foi o principal foco do 1º semestre, no início causada pela falta de informação técnica sobre seus efeitos, e posteriormente com os efeitos impactando os maiores centros do mundo, atingindo e se espalhando do oriente ao ocidente. </w:t>
      </w:r>
    </w:p>
    <w:p w:rsidR="00B75C56" w:rsidRPr="00D41D88" w:rsidRDefault="00B75C56" w:rsidP="00D41D88">
      <w:pPr>
        <w:spacing w:before="240" w:after="100" w:afterAutospacing="1" w:line="240" w:lineRule="auto"/>
        <w:jc w:val="both"/>
        <w:rPr>
          <w:rFonts w:ascii="Times New Roman" w:eastAsia="Times New Roman" w:hAnsi="Times New Roman" w:cs="Times New Roman"/>
          <w:sz w:val="24"/>
          <w:szCs w:val="24"/>
          <w:lang w:eastAsia="pt-BR"/>
        </w:rPr>
      </w:pPr>
      <w:r w:rsidRPr="00D41D88">
        <w:rPr>
          <w:rFonts w:ascii="Arial" w:eastAsia="Times New Roman" w:hAnsi="Arial" w:cs="Arial"/>
          <w:sz w:val="20"/>
          <w:szCs w:val="20"/>
          <w:lang w:eastAsia="pt-BR"/>
        </w:rPr>
        <w:t xml:space="preserve">A globalização foi fator determinante para a disseminação do vírus, por ser altamente contagioso, rapidamente afetou a população e o resultado imediato foi uma </w:t>
      </w:r>
      <w:r w:rsidR="00D41D88" w:rsidRPr="00D41D88">
        <w:rPr>
          <w:rFonts w:ascii="Arial" w:eastAsia="Times New Roman" w:hAnsi="Arial" w:cs="Arial"/>
          <w:sz w:val="20"/>
          <w:szCs w:val="20"/>
          <w:lang w:eastAsia="pt-BR"/>
        </w:rPr>
        <w:t>seqüência</w:t>
      </w:r>
      <w:r w:rsidRPr="00D41D88">
        <w:rPr>
          <w:rFonts w:ascii="Arial" w:eastAsia="Times New Roman" w:hAnsi="Arial" w:cs="Arial"/>
          <w:sz w:val="20"/>
          <w:szCs w:val="20"/>
          <w:lang w:eastAsia="pt-BR"/>
        </w:rPr>
        <w:t xml:space="preserve"> de países decretando calamidade pública e estado de emergência. </w:t>
      </w:r>
    </w:p>
    <w:p w:rsidR="00B75C56" w:rsidRPr="00D41D88" w:rsidRDefault="00B75C56" w:rsidP="00D41D88">
      <w:pPr>
        <w:spacing w:before="240" w:after="100" w:afterAutospacing="1" w:line="240" w:lineRule="auto"/>
        <w:jc w:val="both"/>
        <w:rPr>
          <w:rFonts w:ascii="Times New Roman" w:eastAsia="Times New Roman" w:hAnsi="Times New Roman" w:cs="Times New Roman"/>
          <w:sz w:val="24"/>
          <w:szCs w:val="24"/>
          <w:lang w:eastAsia="pt-BR"/>
        </w:rPr>
      </w:pPr>
      <w:r w:rsidRPr="00D41D88">
        <w:rPr>
          <w:rFonts w:ascii="Arial" w:eastAsia="Times New Roman" w:hAnsi="Arial" w:cs="Arial"/>
          <w:sz w:val="20"/>
          <w:szCs w:val="20"/>
          <w:lang w:eastAsia="pt-BR"/>
        </w:rPr>
        <w:t xml:space="preserve">O caráter do vírus foi identificado como de baixa taxa de mortalidade, porém cada vida importa e por se tratar de uma pandemia que demorou a </w:t>
      </w:r>
      <w:proofErr w:type="gramStart"/>
      <w:r w:rsidRPr="00D41D88">
        <w:rPr>
          <w:rFonts w:ascii="Arial" w:eastAsia="Times New Roman" w:hAnsi="Arial" w:cs="Arial"/>
          <w:sz w:val="20"/>
          <w:szCs w:val="20"/>
          <w:lang w:eastAsia="pt-BR"/>
        </w:rPr>
        <w:t>ser</w:t>
      </w:r>
      <w:proofErr w:type="gramEnd"/>
      <w:r w:rsidRPr="00D41D88">
        <w:rPr>
          <w:rFonts w:ascii="Arial" w:eastAsia="Times New Roman" w:hAnsi="Arial" w:cs="Arial"/>
          <w:sz w:val="20"/>
          <w:szCs w:val="20"/>
          <w:lang w:eastAsia="pt-BR"/>
        </w:rPr>
        <w:t xml:space="preserve"> compreendida, os números preencheram um gráfico crescente, indicando a infecção em escala, e o número de vítimas cada vez maior. </w:t>
      </w:r>
    </w:p>
    <w:p w:rsidR="00B75C56" w:rsidRPr="00D41D88" w:rsidRDefault="00B75C56" w:rsidP="00D41D88">
      <w:pPr>
        <w:spacing w:before="240" w:after="100" w:afterAutospacing="1" w:line="240" w:lineRule="auto"/>
        <w:jc w:val="both"/>
        <w:rPr>
          <w:rFonts w:ascii="Times New Roman" w:eastAsia="Times New Roman" w:hAnsi="Times New Roman" w:cs="Times New Roman"/>
          <w:sz w:val="24"/>
          <w:szCs w:val="24"/>
          <w:lang w:eastAsia="pt-BR"/>
        </w:rPr>
      </w:pPr>
      <w:r w:rsidRPr="00D41D88">
        <w:rPr>
          <w:rFonts w:ascii="Arial" w:eastAsia="Times New Roman" w:hAnsi="Arial" w:cs="Arial"/>
          <w:sz w:val="20"/>
          <w:szCs w:val="20"/>
          <w:lang w:eastAsia="pt-BR"/>
        </w:rPr>
        <w:t xml:space="preserve">Ao ponto em que o tempo foi passando, inúmeras formas de como combater o vírus foram discutidas, a que mais parecia surtir efeito e a mais indicada, foram </w:t>
      </w:r>
      <w:proofErr w:type="gramStart"/>
      <w:r w:rsidRPr="00D41D88">
        <w:rPr>
          <w:rFonts w:ascii="Arial" w:eastAsia="Times New Roman" w:hAnsi="Arial" w:cs="Arial"/>
          <w:sz w:val="20"/>
          <w:szCs w:val="20"/>
          <w:lang w:eastAsia="pt-BR"/>
        </w:rPr>
        <w:t>as</w:t>
      </w:r>
      <w:proofErr w:type="gramEnd"/>
      <w:r w:rsidRPr="00D41D88">
        <w:rPr>
          <w:rFonts w:ascii="Arial" w:eastAsia="Times New Roman" w:hAnsi="Arial" w:cs="Arial"/>
          <w:sz w:val="20"/>
          <w:szCs w:val="20"/>
          <w:lang w:eastAsia="pt-BR"/>
        </w:rPr>
        <w:t xml:space="preserve"> medidas de distanciamento social, no seu estágio mais crítico o </w:t>
      </w:r>
      <w:proofErr w:type="spellStart"/>
      <w:r w:rsidRPr="00D41D88">
        <w:rPr>
          <w:rFonts w:ascii="Arial" w:eastAsia="Times New Roman" w:hAnsi="Arial" w:cs="Arial"/>
          <w:sz w:val="20"/>
          <w:lang w:eastAsia="pt-BR"/>
        </w:rPr>
        <w:t>Lockdown</w:t>
      </w:r>
      <w:proofErr w:type="spellEnd"/>
      <w:r w:rsidRPr="00D41D88">
        <w:rPr>
          <w:rFonts w:ascii="Arial" w:eastAsia="Times New Roman" w:hAnsi="Arial" w:cs="Arial"/>
          <w:sz w:val="20"/>
          <w:szCs w:val="20"/>
          <w:lang w:eastAsia="pt-BR"/>
        </w:rPr>
        <w:t xml:space="preserve">, o confinamento, a quarentena. </w:t>
      </w:r>
    </w:p>
    <w:p w:rsidR="00B75C56" w:rsidRPr="007C7A35" w:rsidRDefault="00B75C56" w:rsidP="007C7A35">
      <w:pPr>
        <w:spacing w:before="240" w:after="100" w:afterAutospacing="1" w:line="240" w:lineRule="auto"/>
        <w:jc w:val="both"/>
        <w:rPr>
          <w:rFonts w:ascii="Times New Roman" w:eastAsia="Times New Roman" w:hAnsi="Times New Roman" w:cs="Times New Roman"/>
          <w:sz w:val="24"/>
          <w:szCs w:val="24"/>
          <w:lang w:eastAsia="pt-BR"/>
        </w:rPr>
      </w:pPr>
      <w:r w:rsidRPr="007C7A35">
        <w:rPr>
          <w:rFonts w:ascii="Arial" w:eastAsia="Times New Roman" w:hAnsi="Arial" w:cs="Arial"/>
          <w:sz w:val="20"/>
          <w:szCs w:val="20"/>
          <w:lang w:eastAsia="pt-BR"/>
        </w:rPr>
        <w:t xml:space="preserve">Apesar de auxiliar e controlar a disseminação do vírus, era nítido que os impactos econômicos por realizar tal medida, </w:t>
      </w:r>
      <w:proofErr w:type="gramStart"/>
      <w:r w:rsidRPr="007C7A35">
        <w:rPr>
          <w:rFonts w:ascii="Arial" w:eastAsia="Times New Roman" w:hAnsi="Arial" w:cs="Arial"/>
          <w:sz w:val="20"/>
          <w:szCs w:val="20"/>
          <w:lang w:eastAsia="pt-BR"/>
        </w:rPr>
        <w:t>seriam inevitáveis</w:t>
      </w:r>
      <w:proofErr w:type="gramEnd"/>
      <w:r w:rsidRPr="007C7A35">
        <w:rPr>
          <w:rFonts w:ascii="Arial" w:eastAsia="Times New Roman" w:hAnsi="Arial" w:cs="Arial"/>
          <w:sz w:val="20"/>
          <w:szCs w:val="20"/>
          <w:lang w:eastAsia="pt-BR"/>
        </w:rPr>
        <w:t xml:space="preserve">, com a </w:t>
      </w:r>
      <w:r w:rsidR="00D41D88" w:rsidRPr="007C7A35">
        <w:rPr>
          <w:rFonts w:ascii="Arial" w:eastAsia="Times New Roman" w:hAnsi="Arial" w:cs="Arial"/>
          <w:sz w:val="20"/>
          <w:szCs w:val="20"/>
          <w:lang w:eastAsia="pt-BR"/>
        </w:rPr>
        <w:t>paralisação</w:t>
      </w:r>
      <w:r w:rsidRPr="007C7A35">
        <w:rPr>
          <w:rFonts w:ascii="Arial" w:eastAsia="Times New Roman" w:hAnsi="Arial" w:cs="Arial"/>
          <w:sz w:val="20"/>
          <w:szCs w:val="20"/>
          <w:lang w:eastAsia="pt-BR"/>
        </w:rPr>
        <w:t xml:space="preserve"> quase que completa da economia, o mercado viveu talvez a pior crise em sua história até o momento. </w:t>
      </w:r>
    </w:p>
    <w:p w:rsidR="00B75C56" w:rsidRPr="007C7A35" w:rsidRDefault="00B75C56" w:rsidP="007C7A35">
      <w:pPr>
        <w:spacing w:before="240" w:after="100" w:afterAutospacing="1" w:line="240" w:lineRule="auto"/>
        <w:jc w:val="both"/>
        <w:rPr>
          <w:rFonts w:ascii="Times New Roman" w:eastAsia="Times New Roman" w:hAnsi="Times New Roman" w:cs="Times New Roman"/>
          <w:sz w:val="24"/>
          <w:szCs w:val="24"/>
          <w:lang w:eastAsia="pt-BR"/>
        </w:rPr>
      </w:pPr>
      <w:r w:rsidRPr="007C7A35">
        <w:rPr>
          <w:rFonts w:ascii="Arial" w:eastAsia="Times New Roman" w:hAnsi="Arial" w:cs="Arial"/>
          <w:sz w:val="20"/>
          <w:szCs w:val="20"/>
          <w:lang w:eastAsia="pt-BR"/>
        </w:rPr>
        <w:t xml:space="preserve">Ainda não se pode precisar todos os impactos econômicos e sociais da crise causada </w:t>
      </w:r>
      <w:proofErr w:type="gramStart"/>
      <w:r w:rsidRPr="007C7A35">
        <w:rPr>
          <w:rFonts w:ascii="Arial" w:eastAsia="Times New Roman" w:hAnsi="Arial" w:cs="Arial"/>
          <w:sz w:val="20"/>
          <w:szCs w:val="20"/>
          <w:lang w:eastAsia="pt-BR"/>
        </w:rPr>
        <w:t xml:space="preserve">pelo </w:t>
      </w:r>
      <w:proofErr w:type="spellStart"/>
      <w:r w:rsidRPr="007C7A35">
        <w:rPr>
          <w:rFonts w:ascii="Arial" w:eastAsia="Times New Roman" w:hAnsi="Arial" w:cs="Arial"/>
          <w:sz w:val="20"/>
          <w:szCs w:val="20"/>
          <w:lang w:eastAsia="pt-BR"/>
        </w:rPr>
        <w:t>corona-vírus</w:t>
      </w:r>
      <w:proofErr w:type="spellEnd"/>
      <w:proofErr w:type="gramEnd"/>
      <w:r w:rsidRPr="007C7A35">
        <w:rPr>
          <w:rFonts w:ascii="Arial" w:eastAsia="Times New Roman" w:hAnsi="Arial" w:cs="Arial"/>
          <w:sz w:val="20"/>
          <w:szCs w:val="20"/>
          <w:lang w:eastAsia="pt-BR"/>
        </w:rPr>
        <w:t xml:space="preserve">, mas todas as previsões estatísticas em relação </w:t>
      </w:r>
      <w:r w:rsidRPr="007C7A35">
        <w:rPr>
          <w:rFonts w:ascii="Arial" w:eastAsia="Times New Roman" w:hAnsi="Arial" w:cs="Arial"/>
          <w:sz w:val="20"/>
          <w:lang w:eastAsia="pt-BR"/>
        </w:rPr>
        <w:t>a</w:t>
      </w:r>
      <w:r w:rsidRPr="007C7A35">
        <w:rPr>
          <w:rFonts w:ascii="Arial" w:eastAsia="Times New Roman" w:hAnsi="Arial" w:cs="Arial"/>
          <w:sz w:val="20"/>
          <w:szCs w:val="20"/>
          <w:lang w:eastAsia="pt-BR"/>
        </w:rPr>
        <w:t xml:space="preserve"> economia, vem recheadas de previsões de expectativa de PIB negativo, aumento do desemprego e enfraquecimento em diversas áreas e setores econômicos, dito isso, recessão econômica é o assunto mais discutido no momento. </w:t>
      </w:r>
    </w:p>
    <w:p w:rsidR="00B75C56" w:rsidRPr="007C7A35" w:rsidRDefault="00B75C56" w:rsidP="007C7A35">
      <w:pPr>
        <w:spacing w:before="240" w:after="100" w:afterAutospacing="1" w:line="240" w:lineRule="auto"/>
        <w:jc w:val="both"/>
        <w:rPr>
          <w:rFonts w:ascii="Times New Roman" w:eastAsia="Times New Roman" w:hAnsi="Times New Roman" w:cs="Times New Roman"/>
          <w:sz w:val="24"/>
          <w:szCs w:val="24"/>
          <w:lang w:eastAsia="pt-BR"/>
        </w:rPr>
      </w:pPr>
      <w:r w:rsidRPr="007C7A35">
        <w:rPr>
          <w:rFonts w:ascii="Arial" w:eastAsia="Times New Roman" w:hAnsi="Arial" w:cs="Arial"/>
          <w:sz w:val="20"/>
          <w:szCs w:val="20"/>
          <w:lang w:eastAsia="pt-BR"/>
        </w:rPr>
        <w:t>A luz do fim do túnel se dá por dois motivos, o primeiro é o desenvolvimento das vacinas, a mais avançada por sinal parece ser a desenvolvida no Brasil, com isso poderíamos erradicar o vírus e da</w:t>
      </w:r>
      <w:r w:rsidR="007C7A35" w:rsidRPr="007C7A35">
        <w:rPr>
          <w:rFonts w:ascii="Arial" w:eastAsia="Times New Roman" w:hAnsi="Arial" w:cs="Arial"/>
          <w:sz w:val="20"/>
          <w:szCs w:val="20"/>
          <w:lang w:eastAsia="pt-BR"/>
        </w:rPr>
        <w:t>r um novo passo ao "novo normal</w:t>
      </w:r>
      <w:r w:rsidRPr="007C7A35">
        <w:rPr>
          <w:rFonts w:ascii="Arial" w:eastAsia="Times New Roman" w:hAnsi="Arial" w:cs="Arial"/>
          <w:sz w:val="20"/>
          <w:szCs w:val="20"/>
          <w:lang w:eastAsia="pt-BR"/>
        </w:rPr>
        <w:t xml:space="preserve">", que seria o pós </w:t>
      </w:r>
      <w:proofErr w:type="spellStart"/>
      <w:r w:rsidRPr="007C7A35">
        <w:rPr>
          <w:rFonts w:ascii="Arial" w:eastAsia="Times New Roman" w:hAnsi="Arial" w:cs="Arial"/>
          <w:sz w:val="20"/>
          <w:lang w:eastAsia="pt-BR"/>
        </w:rPr>
        <w:t>Covid</w:t>
      </w:r>
      <w:proofErr w:type="spellEnd"/>
      <w:r w:rsidRPr="007C7A35">
        <w:rPr>
          <w:rFonts w:ascii="Arial" w:eastAsia="Times New Roman" w:hAnsi="Arial" w:cs="Arial"/>
          <w:sz w:val="20"/>
          <w:szCs w:val="20"/>
          <w:lang w:eastAsia="pt-BR"/>
        </w:rPr>
        <w:t>. O segundo motivo vem sendo proporcionado pelo estado, com estímulos fiscais que tem o objetivo de auxiliar a população/setores mais afetados e sustentar a crise por meio do QE (</w:t>
      </w:r>
      <w:proofErr w:type="spellStart"/>
      <w:r w:rsidRPr="007C7A35">
        <w:rPr>
          <w:rFonts w:ascii="Arial" w:eastAsia="Times New Roman" w:hAnsi="Arial" w:cs="Arial"/>
          <w:sz w:val="20"/>
          <w:lang w:eastAsia="pt-BR"/>
        </w:rPr>
        <w:t>quantitative</w:t>
      </w:r>
      <w:proofErr w:type="spellEnd"/>
      <w:r w:rsidRPr="007C7A35">
        <w:rPr>
          <w:rFonts w:ascii="Arial" w:eastAsia="Times New Roman" w:hAnsi="Arial" w:cs="Arial"/>
          <w:sz w:val="20"/>
          <w:szCs w:val="20"/>
          <w:lang w:eastAsia="pt-BR"/>
        </w:rPr>
        <w:t xml:space="preserve"> </w:t>
      </w:r>
      <w:proofErr w:type="spellStart"/>
      <w:r w:rsidRPr="007C7A35">
        <w:rPr>
          <w:rFonts w:ascii="Arial" w:eastAsia="Times New Roman" w:hAnsi="Arial" w:cs="Arial"/>
          <w:sz w:val="20"/>
          <w:lang w:eastAsia="pt-BR"/>
        </w:rPr>
        <w:t>easing</w:t>
      </w:r>
      <w:proofErr w:type="spellEnd"/>
      <w:r w:rsidRPr="007C7A35">
        <w:rPr>
          <w:rFonts w:ascii="Arial" w:eastAsia="Times New Roman" w:hAnsi="Arial" w:cs="Arial"/>
          <w:sz w:val="20"/>
          <w:szCs w:val="20"/>
          <w:lang w:eastAsia="pt-BR"/>
        </w:rPr>
        <w:t xml:space="preserve">) que seria uma </w:t>
      </w:r>
      <w:proofErr w:type="gramStart"/>
      <w:r w:rsidRPr="007C7A35">
        <w:rPr>
          <w:rFonts w:ascii="Arial" w:eastAsia="Times New Roman" w:hAnsi="Arial" w:cs="Arial"/>
          <w:sz w:val="20"/>
          <w:szCs w:val="20"/>
          <w:lang w:eastAsia="pt-BR"/>
        </w:rPr>
        <w:t>flexibilização</w:t>
      </w:r>
      <w:proofErr w:type="gramEnd"/>
      <w:r w:rsidRPr="007C7A35">
        <w:rPr>
          <w:rFonts w:ascii="Arial" w:eastAsia="Times New Roman" w:hAnsi="Arial" w:cs="Arial"/>
          <w:sz w:val="20"/>
          <w:szCs w:val="20"/>
          <w:lang w:eastAsia="pt-BR"/>
        </w:rPr>
        <w:t xml:space="preserve"> da política monetária e a inserção de liquidez na economia.</w:t>
      </w:r>
    </w:p>
    <w:p w:rsidR="005E434E" w:rsidRDefault="005E434E" w:rsidP="00B75C56">
      <w:pPr>
        <w:spacing w:before="240" w:after="100" w:afterAutospacing="1" w:line="240" w:lineRule="auto"/>
        <w:rPr>
          <w:rFonts w:ascii="Arial" w:eastAsia="Times New Roman" w:hAnsi="Arial" w:cs="Arial"/>
          <w:b/>
          <w:bCs/>
          <w:sz w:val="20"/>
          <w:szCs w:val="20"/>
          <w:lang w:eastAsia="pt-BR"/>
        </w:rPr>
      </w:pPr>
    </w:p>
    <w:p w:rsidR="005E434E" w:rsidRDefault="005E434E" w:rsidP="00B75C56">
      <w:pPr>
        <w:spacing w:before="240" w:after="100" w:afterAutospacing="1" w:line="240" w:lineRule="auto"/>
        <w:rPr>
          <w:rFonts w:ascii="Arial" w:eastAsia="Times New Roman" w:hAnsi="Arial" w:cs="Arial"/>
          <w:b/>
          <w:bCs/>
          <w:sz w:val="20"/>
          <w:szCs w:val="20"/>
          <w:lang w:eastAsia="pt-BR"/>
        </w:rPr>
      </w:pPr>
    </w:p>
    <w:p w:rsidR="005E434E" w:rsidRDefault="005E434E" w:rsidP="00B75C56">
      <w:pPr>
        <w:spacing w:before="240" w:after="100" w:afterAutospacing="1" w:line="240" w:lineRule="auto"/>
        <w:rPr>
          <w:rFonts w:ascii="Arial" w:eastAsia="Times New Roman" w:hAnsi="Arial" w:cs="Arial"/>
          <w:b/>
          <w:bCs/>
          <w:sz w:val="20"/>
          <w:szCs w:val="20"/>
          <w:lang w:eastAsia="pt-BR"/>
        </w:rPr>
      </w:pPr>
    </w:p>
    <w:p w:rsidR="00B75C56" w:rsidRPr="00DC71CD" w:rsidRDefault="00B75C56" w:rsidP="00B75C56">
      <w:pPr>
        <w:spacing w:before="240" w:after="100" w:afterAutospacing="1" w:line="240" w:lineRule="auto"/>
        <w:rPr>
          <w:rFonts w:ascii="Times New Roman" w:eastAsia="Times New Roman" w:hAnsi="Times New Roman" w:cs="Times New Roman"/>
          <w:sz w:val="24"/>
          <w:szCs w:val="24"/>
          <w:lang w:eastAsia="pt-BR"/>
        </w:rPr>
      </w:pPr>
      <w:r w:rsidRPr="00DC71CD">
        <w:rPr>
          <w:rFonts w:ascii="Arial" w:eastAsia="Times New Roman" w:hAnsi="Arial" w:cs="Arial"/>
          <w:b/>
          <w:bCs/>
          <w:sz w:val="20"/>
          <w:szCs w:val="20"/>
          <w:lang w:eastAsia="pt-BR"/>
        </w:rPr>
        <w:lastRenderedPageBreak/>
        <w:t>CENÁRIO POLÍTICO</w:t>
      </w:r>
    </w:p>
    <w:p w:rsidR="00B75C56" w:rsidRPr="00DC71CD" w:rsidRDefault="00B75C56" w:rsidP="00DC71CD">
      <w:pPr>
        <w:spacing w:before="240" w:after="100" w:afterAutospacing="1" w:line="240" w:lineRule="auto"/>
        <w:jc w:val="both"/>
        <w:rPr>
          <w:rFonts w:ascii="Times New Roman" w:eastAsia="Times New Roman" w:hAnsi="Times New Roman" w:cs="Times New Roman"/>
          <w:sz w:val="24"/>
          <w:szCs w:val="24"/>
          <w:lang w:eastAsia="pt-BR"/>
        </w:rPr>
      </w:pPr>
      <w:r w:rsidRPr="00DC71CD">
        <w:rPr>
          <w:rFonts w:ascii="Arial" w:eastAsia="Times New Roman" w:hAnsi="Arial" w:cs="Arial"/>
          <w:sz w:val="20"/>
          <w:szCs w:val="20"/>
          <w:lang w:eastAsia="pt-BR"/>
        </w:rPr>
        <w:t xml:space="preserve">O cenário político foi bastante conturbado no 1º semestre de 2020, com alguns pilares e principais nomes do governo saindo de cena, como os </w:t>
      </w:r>
      <w:proofErr w:type="spellStart"/>
      <w:r w:rsidRPr="00DC71CD">
        <w:rPr>
          <w:rFonts w:ascii="Arial" w:eastAsia="Times New Roman" w:hAnsi="Arial" w:cs="Arial"/>
          <w:sz w:val="20"/>
          <w:szCs w:val="20"/>
          <w:lang w:eastAsia="pt-BR"/>
        </w:rPr>
        <w:t>Ex-ministros</w:t>
      </w:r>
      <w:proofErr w:type="spellEnd"/>
      <w:r w:rsidRPr="00DC71CD">
        <w:rPr>
          <w:rFonts w:ascii="Arial" w:eastAsia="Times New Roman" w:hAnsi="Arial" w:cs="Arial"/>
          <w:sz w:val="20"/>
          <w:szCs w:val="20"/>
          <w:lang w:eastAsia="pt-BR"/>
        </w:rPr>
        <w:t xml:space="preserve"> da Saúde Luiz Henrique </w:t>
      </w:r>
      <w:proofErr w:type="spellStart"/>
      <w:r w:rsidRPr="00DC71CD">
        <w:rPr>
          <w:rFonts w:ascii="Arial" w:eastAsia="Times New Roman" w:hAnsi="Arial" w:cs="Arial"/>
          <w:sz w:val="20"/>
          <w:lang w:eastAsia="pt-BR"/>
        </w:rPr>
        <w:t>Mandetta</w:t>
      </w:r>
      <w:proofErr w:type="spellEnd"/>
      <w:r w:rsidRPr="00DC71CD">
        <w:rPr>
          <w:rFonts w:ascii="Arial" w:eastAsia="Times New Roman" w:hAnsi="Arial" w:cs="Arial"/>
          <w:sz w:val="20"/>
          <w:szCs w:val="20"/>
          <w:lang w:eastAsia="pt-BR"/>
        </w:rPr>
        <w:t xml:space="preserve"> e Nelson </w:t>
      </w:r>
      <w:proofErr w:type="spellStart"/>
      <w:r w:rsidRPr="00DC71CD">
        <w:rPr>
          <w:rFonts w:ascii="Arial" w:eastAsia="Times New Roman" w:hAnsi="Arial" w:cs="Arial"/>
          <w:sz w:val="20"/>
          <w:lang w:eastAsia="pt-BR"/>
        </w:rPr>
        <w:t>Teich</w:t>
      </w:r>
      <w:proofErr w:type="spellEnd"/>
      <w:r w:rsidRPr="00DC71CD">
        <w:rPr>
          <w:rFonts w:ascii="Arial" w:eastAsia="Times New Roman" w:hAnsi="Arial" w:cs="Arial"/>
          <w:sz w:val="20"/>
          <w:szCs w:val="20"/>
          <w:lang w:eastAsia="pt-BR"/>
        </w:rPr>
        <w:t xml:space="preserve">, que saíram respectivamente do cargo em plena pandemia, indicando a total falta de gestão do governo. </w:t>
      </w:r>
    </w:p>
    <w:p w:rsidR="00B75C56" w:rsidRPr="00DC71CD" w:rsidRDefault="00B75C56" w:rsidP="00DC71CD">
      <w:pPr>
        <w:spacing w:before="240" w:after="100" w:afterAutospacing="1" w:line="240" w:lineRule="auto"/>
        <w:jc w:val="both"/>
        <w:rPr>
          <w:rFonts w:ascii="Times New Roman" w:eastAsia="Times New Roman" w:hAnsi="Times New Roman" w:cs="Times New Roman"/>
          <w:sz w:val="24"/>
          <w:szCs w:val="24"/>
          <w:lang w:eastAsia="pt-BR"/>
        </w:rPr>
      </w:pPr>
      <w:r w:rsidRPr="00DC71CD">
        <w:rPr>
          <w:rFonts w:ascii="Arial" w:eastAsia="Times New Roman" w:hAnsi="Arial" w:cs="Arial"/>
          <w:sz w:val="20"/>
          <w:szCs w:val="20"/>
          <w:lang w:eastAsia="pt-BR"/>
        </w:rPr>
        <w:t xml:space="preserve">Tivemos a saída do Ministro da Educação Abraham </w:t>
      </w:r>
      <w:proofErr w:type="spellStart"/>
      <w:r w:rsidRPr="00DC71CD">
        <w:rPr>
          <w:rFonts w:ascii="Arial" w:eastAsia="Times New Roman" w:hAnsi="Arial" w:cs="Arial"/>
          <w:sz w:val="20"/>
          <w:lang w:eastAsia="pt-BR"/>
        </w:rPr>
        <w:t>Weintraub</w:t>
      </w:r>
      <w:proofErr w:type="spellEnd"/>
      <w:r w:rsidRPr="00DC71CD">
        <w:rPr>
          <w:rFonts w:ascii="Arial" w:eastAsia="Times New Roman" w:hAnsi="Arial" w:cs="Arial"/>
          <w:sz w:val="20"/>
          <w:szCs w:val="20"/>
          <w:lang w:eastAsia="pt-BR"/>
        </w:rPr>
        <w:t xml:space="preserve">, após algumas polemicas envolvendo seu nome, e a saída que mais afetou os mercados, de Sergio Moro, que na oportunidade ocupava o cargo de Ministro da Justiça. </w:t>
      </w:r>
    </w:p>
    <w:p w:rsidR="00B75C56" w:rsidRPr="00DC71CD" w:rsidRDefault="00B75C56" w:rsidP="00DC71CD">
      <w:pPr>
        <w:spacing w:before="240" w:after="100" w:afterAutospacing="1" w:line="240" w:lineRule="auto"/>
        <w:jc w:val="both"/>
        <w:rPr>
          <w:rFonts w:ascii="Times New Roman" w:eastAsia="Times New Roman" w:hAnsi="Times New Roman" w:cs="Times New Roman"/>
          <w:sz w:val="24"/>
          <w:szCs w:val="24"/>
          <w:lang w:eastAsia="pt-BR"/>
        </w:rPr>
      </w:pPr>
      <w:r w:rsidRPr="00DC71CD">
        <w:rPr>
          <w:rFonts w:ascii="Arial" w:eastAsia="Times New Roman" w:hAnsi="Arial" w:cs="Arial"/>
          <w:sz w:val="20"/>
          <w:szCs w:val="20"/>
          <w:lang w:eastAsia="pt-BR"/>
        </w:rPr>
        <w:t xml:space="preserve">A pandemia interrompeu momentaneamente o processo de consolidação fiscal pelo qual a economia brasileira buscava. Durante o período de crise sanitária e econômica, a prioridade passou a ser, obviamente, a vida e a saúde das pessoas, assim como a preservação de empregos, renda e empresas. </w:t>
      </w:r>
    </w:p>
    <w:p w:rsidR="00B75C56" w:rsidRPr="00DC71CD" w:rsidRDefault="00B75C56" w:rsidP="00DC71CD">
      <w:pPr>
        <w:spacing w:before="240" w:after="100" w:afterAutospacing="1" w:line="240" w:lineRule="auto"/>
        <w:jc w:val="both"/>
        <w:rPr>
          <w:rFonts w:ascii="Times New Roman" w:eastAsia="Times New Roman" w:hAnsi="Times New Roman" w:cs="Times New Roman"/>
          <w:sz w:val="24"/>
          <w:szCs w:val="24"/>
          <w:lang w:eastAsia="pt-BR"/>
        </w:rPr>
      </w:pPr>
      <w:r w:rsidRPr="00DC71CD">
        <w:rPr>
          <w:rFonts w:ascii="Arial" w:eastAsia="Times New Roman" w:hAnsi="Arial" w:cs="Arial"/>
          <w:sz w:val="20"/>
          <w:szCs w:val="20"/>
          <w:lang w:eastAsia="pt-BR"/>
        </w:rPr>
        <w:t>Devido a isso, o governo lançou plano de medidas emergenciais de apoio à saúde e à economia, porém muitas das quais envolvem um enorme custo fiscal.</w:t>
      </w:r>
    </w:p>
    <w:p w:rsidR="00B75C56" w:rsidRPr="00DC71CD" w:rsidRDefault="00B75C56" w:rsidP="00DC71CD">
      <w:pPr>
        <w:spacing w:before="240" w:after="100" w:afterAutospacing="1" w:line="240" w:lineRule="auto"/>
        <w:jc w:val="both"/>
        <w:rPr>
          <w:rFonts w:ascii="Times New Roman" w:eastAsia="Times New Roman" w:hAnsi="Times New Roman" w:cs="Times New Roman"/>
          <w:sz w:val="24"/>
          <w:szCs w:val="24"/>
          <w:lang w:eastAsia="pt-BR"/>
        </w:rPr>
      </w:pPr>
      <w:r w:rsidRPr="00DC71CD">
        <w:rPr>
          <w:rFonts w:ascii="Arial" w:eastAsia="Times New Roman" w:hAnsi="Arial" w:cs="Arial"/>
          <w:sz w:val="20"/>
          <w:szCs w:val="20"/>
          <w:lang w:eastAsia="pt-BR"/>
        </w:rPr>
        <w:t xml:space="preserve">A preocupação com o quadro fiscal, endividamento, rolagem de dívidas e teto de gastos, foram os assuntos mais pertinentes no cenário político brasileiro, em virtude dos gastos com auxilio emergencial, promovidos pelo governo para amparar a população em meio à crise, devido </w:t>
      </w:r>
      <w:proofErr w:type="gramStart"/>
      <w:r w:rsidRPr="00DC71CD">
        <w:rPr>
          <w:rFonts w:ascii="Arial" w:eastAsia="Times New Roman" w:hAnsi="Arial" w:cs="Arial"/>
          <w:sz w:val="20"/>
          <w:szCs w:val="20"/>
          <w:lang w:eastAsia="pt-BR"/>
        </w:rPr>
        <w:t>as</w:t>
      </w:r>
      <w:proofErr w:type="gramEnd"/>
      <w:r w:rsidRPr="00DC71CD">
        <w:rPr>
          <w:rFonts w:ascii="Arial" w:eastAsia="Times New Roman" w:hAnsi="Arial" w:cs="Arial"/>
          <w:sz w:val="20"/>
          <w:szCs w:val="20"/>
          <w:lang w:eastAsia="pt-BR"/>
        </w:rPr>
        <w:t xml:space="preserve"> medidas de restrição e isolamento social, que impossibilitou milhares de trabalhadores informais de adquirirem renda.</w:t>
      </w:r>
    </w:p>
    <w:p w:rsidR="00B75C56" w:rsidRPr="00DC71CD" w:rsidRDefault="00B75C56" w:rsidP="00DC71CD">
      <w:pPr>
        <w:spacing w:before="240" w:after="100" w:afterAutospacing="1" w:line="240" w:lineRule="auto"/>
        <w:jc w:val="both"/>
        <w:rPr>
          <w:rFonts w:ascii="Times New Roman" w:eastAsia="Times New Roman" w:hAnsi="Times New Roman" w:cs="Times New Roman"/>
          <w:sz w:val="24"/>
          <w:szCs w:val="24"/>
          <w:lang w:eastAsia="pt-BR"/>
        </w:rPr>
      </w:pPr>
      <w:r w:rsidRPr="00DC71CD">
        <w:rPr>
          <w:rFonts w:ascii="Arial" w:eastAsia="Times New Roman" w:hAnsi="Arial" w:cs="Arial"/>
          <w:sz w:val="20"/>
          <w:szCs w:val="20"/>
          <w:lang w:eastAsia="pt-BR"/>
        </w:rPr>
        <w:t xml:space="preserve">Caso aconteça, além de gerar desconfiança dos investidores estrangeiros, geraria um aumento na taxa de juros e no risco Brasil e isso não seria bom para o estado da economia atual, que já segue prejudicada. </w:t>
      </w:r>
    </w:p>
    <w:p w:rsidR="00B75C56" w:rsidRPr="00DC71CD" w:rsidRDefault="00B75C56" w:rsidP="00DC71CD">
      <w:pPr>
        <w:spacing w:before="240" w:after="100" w:afterAutospacing="1" w:line="240" w:lineRule="auto"/>
        <w:jc w:val="both"/>
        <w:rPr>
          <w:rFonts w:ascii="Times New Roman" w:eastAsia="Times New Roman" w:hAnsi="Times New Roman" w:cs="Times New Roman"/>
          <w:sz w:val="24"/>
          <w:szCs w:val="24"/>
          <w:lang w:eastAsia="pt-BR"/>
        </w:rPr>
      </w:pPr>
      <w:r w:rsidRPr="00DC71CD">
        <w:rPr>
          <w:rFonts w:ascii="Arial" w:eastAsia="Times New Roman" w:hAnsi="Arial" w:cs="Arial"/>
          <w:sz w:val="20"/>
          <w:szCs w:val="20"/>
          <w:lang w:eastAsia="pt-BR"/>
        </w:rPr>
        <w:t xml:space="preserve">Situação que o Brasil vem tentando evitar ao longo dos últimos anos, </w:t>
      </w:r>
      <w:proofErr w:type="gramStart"/>
      <w:r w:rsidRPr="00DC71CD">
        <w:rPr>
          <w:rFonts w:ascii="Arial" w:eastAsia="Times New Roman" w:hAnsi="Arial" w:cs="Arial"/>
          <w:sz w:val="20"/>
          <w:szCs w:val="20"/>
          <w:lang w:eastAsia="pt-BR"/>
        </w:rPr>
        <w:t>reconquistar</w:t>
      </w:r>
      <w:proofErr w:type="gramEnd"/>
      <w:r w:rsidRPr="00DC71CD">
        <w:rPr>
          <w:rFonts w:ascii="Arial" w:eastAsia="Times New Roman" w:hAnsi="Arial" w:cs="Arial"/>
          <w:sz w:val="20"/>
          <w:szCs w:val="20"/>
          <w:lang w:eastAsia="pt-BR"/>
        </w:rPr>
        <w:t xml:space="preserve"> os investidores estrangeiros, a partir de um quadro fiscal mais bem elaborado, uma agenda de reformas estruturais, que ocasionalmente levaria o Brasil a um controle maior sobre as receitas e gastos governamentais.</w:t>
      </w:r>
    </w:p>
    <w:p w:rsidR="00B75C56" w:rsidRPr="00DC71CD" w:rsidRDefault="00B75C56" w:rsidP="00DC71CD">
      <w:pPr>
        <w:spacing w:before="240" w:after="100" w:afterAutospacing="1" w:line="240" w:lineRule="auto"/>
        <w:jc w:val="both"/>
        <w:rPr>
          <w:rFonts w:ascii="Times New Roman" w:eastAsia="Times New Roman" w:hAnsi="Times New Roman" w:cs="Times New Roman"/>
          <w:sz w:val="24"/>
          <w:szCs w:val="24"/>
          <w:lang w:eastAsia="pt-BR"/>
        </w:rPr>
      </w:pPr>
      <w:r w:rsidRPr="00DC71CD">
        <w:rPr>
          <w:rFonts w:ascii="Arial" w:eastAsia="Times New Roman" w:hAnsi="Arial" w:cs="Arial"/>
          <w:sz w:val="20"/>
          <w:szCs w:val="20"/>
          <w:lang w:eastAsia="pt-BR"/>
        </w:rPr>
        <w:t xml:space="preserve">Além disso, existem importantes dúvidas com relação à reforma tributária entregadas em fases com distanciamento de tempo entre elas, que é mais fácil de ser aprovada, mas que não se sabe onde acaba. </w:t>
      </w:r>
    </w:p>
    <w:p w:rsidR="00B75C56" w:rsidRPr="00DC71CD" w:rsidRDefault="00B75C56" w:rsidP="00DC71CD">
      <w:pPr>
        <w:spacing w:before="240" w:after="100" w:afterAutospacing="1" w:line="240" w:lineRule="auto"/>
        <w:jc w:val="both"/>
        <w:rPr>
          <w:rFonts w:ascii="Times New Roman" w:eastAsia="Times New Roman" w:hAnsi="Times New Roman" w:cs="Times New Roman"/>
          <w:sz w:val="24"/>
          <w:szCs w:val="24"/>
          <w:lang w:eastAsia="pt-BR"/>
        </w:rPr>
      </w:pPr>
      <w:r w:rsidRPr="00DC71CD">
        <w:rPr>
          <w:rFonts w:ascii="Arial" w:eastAsia="Times New Roman" w:hAnsi="Arial" w:cs="Arial"/>
          <w:sz w:val="20"/>
          <w:szCs w:val="20"/>
          <w:lang w:eastAsia="pt-BR"/>
        </w:rPr>
        <w:t>Assunto de extrema importância para os mercados e que nos deram bons resultados no ano de 2019, a agenda de reformas não andou em 2020 como se esperava, trazendo de volta a incerteza que o investidor procura fugir.</w:t>
      </w:r>
    </w:p>
    <w:p w:rsidR="00B75C56" w:rsidRPr="004749C6" w:rsidRDefault="00B75C56" w:rsidP="004749C6">
      <w:pPr>
        <w:spacing w:before="240" w:after="100" w:afterAutospacing="1" w:line="240" w:lineRule="auto"/>
        <w:jc w:val="both"/>
        <w:rPr>
          <w:rFonts w:ascii="Times New Roman" w:eastAsia="Times New Roman" w:hAnsi="Times New Roman" w:cs="Times New Roman"/>
          <w:sz w:val="24"/>
          <w:szCs w:val="24"/>
          <w:lang w:eastAsia="pt-BR"/>
        </w:rPr>
      </w:pPr>
      <w:r w:rsidRPr="004749C6">
        <w:rPr>
          <w:rFonts w:ascii="Arial" w:eastAsia="Times New Roman" w:hAnsi="Arial" w:cs="Arial"/>
          <w:b/>
          <w:bCs/>
          <w:sz w:val="20"/>
          <w:szCs w:val="20"/>
          <w:lang w:eastAsia="pt-BR"/>
        </w:rPr>
        <w:t>4.1</w:t>
      </w:r>
      <w:r w:rsidRPr="004749C6">
        <w:rPr>
          <w:rFonts w:ascii="Arial" w:eastAsia="Times New Roman" w:hAnsi="Arial" w:cs="Arial"/>
          <w:b/>
          <w:bCs/>
          <w:sz w:val="20"/>
          <w:szCs w:val="20"/>
          <w:lang w:eastAsia="pt-BR"/>
        </w:rPr>
        <w:tab/>
        <w:t>INTERNACIONAL - 1° SEMESTRE DE 2020</w:t>
      </w:r>
    </w:p>
    <w:p w:rsidR="00B75C56" w:rsidRPr="004749C6" w:rsidRDefault="00B75C56" w:rsidP="004749C6">
      <w:pPr>
        <w:spacing w:before="240" w:after="100" w:afterAutospacing="1" w:line="240" w:lineRule="auto"/>
        <w:jc w:val="both"/>
        <w:rPr>
          <w:rFonts w:ascii="Times New Roman" w:eastAsia="Times New Roman" w:hAnsi="Times New Roman" w:cs="Times New Roman"/>
          <w:sz w:val="24"/>
          <w:szCs w:val="24"/>
          <w:lang w:eastAsia="pt-BR"/>
        </w:rPr>
      </w:pPr>
      <w:r w:rsidRPr="004749C6">
        <w:rPr>
          <w:rFonts w:ascii="Arial" w:eastAsia="Times New Roman" w:hAnsi="Arial" w:cs="Arial"/>
          <w:sz w:val="20"/>
          <w:szCs w:val="20"/>
          <w:lang w:eastAsia="pt-BR"/>
        </w:rPr>
        <w:t xml:space="preserve">A pandemia do </w:t>
      </w:r>
      <w:proofErr w:type="gramStart"/>
      <w:r w:rsidRPr="004749C6">
        <w:rPr>
          <w:rFonts w:ascii="Arial" w:eastAsia="Times New Roman" w:hAnsi="Arial" w:cs="Arial"/>
          <w:sz w:val="20"/>
          <w:szCs w:val="20"/>
          <w:lang w:eastAsia="pt-BR"/>
        </w:rPr>
        <w:t xml:space="preserve">novo </w:t>
      </w:r>
      <w:proofErr w:type="spellStart"/>
      <w:r w:rsidRPr="004749C6">
        <w:rPr>
          <w:rFonts w:ascii="Arial" w:eastAsia="Times New Roman" w:hAnsi="Arial" w:cs="Arial"/>
          <w:sz w:val="20"/>
          <w:szCs w:val="20"/>
          <w:lang w:eastAsia="pt-BR"/>
        </w:rPr>
        <w:t>corona-vírus</w:t>
      </w:r>
      <w:proofErr w:type="spellEnd"/>
      <w:proofErr w:type="gramEnd"/>
      <w:r w:rsidRPr="004749C6">
        <w:rPr>
          <w:rFonts w:ascii="Arial" w:eastAsia="Times New Roman" w:hAnsi="Arial" w:cs="Arial"/>
          <w:sz w:val="20"/>
          <w:szCs w:val="20"/>
          <w:lang w:eastAsia="pt-BR"/>
        </w:rPr>
        <w:t xml:space="preserve"> vem impactando negativamente o mundo todo. A previsão do FMI (Fundo Monetário Internacional) ao analisar o 1º Semestre de 2020, é que o PIB mundial retrocederá 4,9% este ano em 2020. Para 2021, a expectativa é de crescimento de 5,6%. As revisões feitas n</w:t>
      </w:r>
      <w:r w:rsidR="004749C6" w:rsidRPr="004749C6">
        <w:rPr>
          <w:rFonts w:ascii="Arial" w:eastAsia="Times New Roman" w:hAnsi="Arial" w:cs="Arial"/>
          <w:sz w:val="20"/>
          <w:szCs w:val="20"/>
          <w:lang w:eastAsia="pt-BR"/>
        </w:rPr>
        <w:t>a maioria das vezes para baixo refletem</w:t>
      </w:r>
      <w:r w:rsidRPr="004749C6">
        <w:rPr>
          <w:rFonts w:ascii="Arial" w:eastAsia="Times New Roman" w:hAnsi="Arial" w:cs="Arial"/>
          <w:sz w:val="20"/>
          <w:szCs w:val="20"/>
          <w:lang w:eastAsia="pt-BR"/>
        </w:rPr>
        <w:t xml:space="preserve"> a queda da atividade econômica no primeiro semestre mais forte do que se imaginava, de acordo com a perspectiva da manutenção de algumas medidas de isolamento social e o efeito da crise sobre o produto potencial global. </w:t>
      </w:r>
    </w:p>
    <w:p w:rsidR="00B75C56" w:rsidRPr="004749C6" w:rsidRDefault="00B75C56" w:rsidP="004749C6">
      <w:pPr>
        <w:spacing w:before="240" w:after="100" w:afterAutospacing="1" w:line="240" w:lineRule="auto"/>
        <w:jc w:val="both"/>
        <w:rPr>
          <w:rFonts w:ascii="Times New Roman" w:eastAsia="Times New Roman" w:hAnsi="Times New Roman" w:cs="Times New Roman"/>
          <w:sz w:val="24"/>
          <w:szCs w:val="24"/>
          <w:lang w:eastAsia="pt-BR"/>
        </w:rPr>
      </w:pPr>
      <w:r w:rsidRPr="004749C6">
        <w:rPr>
          <w:rFonts w:ascii="Arial" w:eastAsia="Times New Roman" w:hAnsi="Arial" w:cs="Arial"/>
          <w:sz w:val="20"/>
          <w:szCs w:val="20"/>
          <w:lang w:eastAsia="pt-BR"/>
        </w:rPr>
        <w:t xml:space="preserve">Dadas as projeções, ao final de 2021, a economia mundial terá retornado ao nível de 2019, mas ainda </w:t>
      </w:r>
      <w:proofErr w:type="gramStart"/>
      <w:r w:rsidRPr="004749C6">
        <w:rPr>
          <w:rFonts w:ascii="Arial" w:eastAsia="Times New Roman" w:hAnsi="Arial" w:cs="Arial"/>
          <w:sz w:val="20"/>
          <w:szCs w:val="20"/>
          <w:lang w:eastAsia="pt-BR"/>
        </w:rPr>
        <w:t>estará</w:t>
      </w:r>
      <w:proofErr w:type="gramEnd"/>
      <w:r w:rsidRPr="004749C6">
        <w:rPr>
          <w:rFonts w:ascii="Arial" w:eastAsia="Times New Roman" w:hAnsi="Arial" w:cs="Arial"/>
          <w:sz w:val="20"/>
          <w:szCs w:val="20"/>
          <w:lang w:eastAsia="pt-BR"/>
        </w:rPr>
        <w:t xml:space="preserve"> 6% abaixo do nível projetado antes da crise.</w:t>
      </w:r>
    </w:p>
    <w:p w:rsidR="00B75C56" w:rsidRPr="004749C6" w:rsidRDefault="00B75C56" w:rsidP="004749C6">
      <w:pPr>
        <w:spacing w:before="240" w:after="100" w:afterAutospacing="1" w:line="240" w:lineRule="auto"/>
        <w:jc w:val="both"/>
        <w:rPr>
          <w:rFonts w:ascii="Times New Roman" w:eastAsia="Times New Roman" w:hAnsi="Times New Roman" w:cs="Times New Roman"/>
          <w:sz w:val="24"/>
          <w:szCs w:val="24"/>
          <w:lang w:eastAsia="pt-BR"/>
        </w:rPr>
      </w:pPr>
      <w:r w:rsidRPr="004749C6">
        <w:rPr>
          <w:rFonts w:ascii="Arial" w:eastAsia="Times New Roman" w:hAnsi="Arial" w:cs="Arial"/>
          <w:sz w:val="20"/>
          <w:szCs w:val="20"/>
          <w:lang w:eastAsia="pt-BR"/>
        </w:rPr>
        <w:lastRenderedPageBreak/>
        <w:t xml:space="preserve">Em termos globais, podemos observar o tamanho da crise que estamos enfrentando devido a alguns indicadores, como </w:t>
      </w:r>
      <w:r w:rsidR="004749C6" w:rsidRPr="004749C6">
        <w:rPr>
          <w:rFonts w:ascii="Arial" w:eastAsia="Times New Roman" w:hAnsi="Arial" w:cs="Arial"/>
          <w:sz w:val="20"/>
          <w:szCs w:val="20"/>
          <w:lang w:eastAsia="pt-BR"/>
        </w:rPr>
        <w:t>por exemplo,</w:t>
      </w:r>
      <w:r w:rsidRPr="004749C6">
        <w:rPr>
          <w:rFonts w:ascii="Arial" w:eastAsia="Times New Roman" w:hAnsi="Arial" w:cs="Arial"/>
          <w:sz w:val="20"/>
          <w:szCs w:val="20"/>
          <w:lang w:eastAsia="pt-BR"/>
        </w:rPr>
        <w:t xml:space="preserve"> o VIX, que traz a expectativa de volatilidade do mercado de ações com base nas opções de índice </w:t>
      </w:r>
      <w:proofErr w:type="spellStart"/>
      <w:r w:rsidRPr="004749C6">
        <w:rPr>
          <w:rFonts w:ascii="Arial" w:eastAsia="Times New Roman" w:hAnsi="Arial" w:cs="Arial"/>
          <w:sz w:val="20"/>
          <w:szCs w:val="20"/>
          <w:lang w:eastAsia="pt-BR"/>
        </w:rPr>
        <w:t>S&amp;P</w:t>
      </w:r>
      <w:proofErr w:type="spellEnd"/>
      <w:r w:rsidRPr="004749C6">
        <w:rPr>
          <w:rFonts w:ascii="Arial" w:eastAsia="Times New Roman" w:hAnsi="Arial" w:cs="Arial"/>
          <w:sz w:val="20"/>
          <w:szCs w:val="20"/>
          <w:lang w:eastAsia="pt-BR"/>
        </w:rPr>
        <w:t xml:space="preserve"> 500.</w:t>
      </w:r>
    </w:p>
    <w:p w:rsidR="00B75C56" w:rsidRPr="005A41BF" w:rsidRDefault="00B75C56" w:rsidP="005A41BF">
      <w:pPr>
        <w:spacing w:before="240" w:after="100" w:afterAutospacing="1" w:line="240" w:lineRule="auto"/>
        <w:jc w:val="both"/>
        <w:rPr>
          <w:rFonts w:ascii="Times New Roman" w:eastAsia="Times New Roman" w:hAnsi="Times New Roman" w:cs="Times New Roman"/>
          <w:sz w:val="24"/>
          <w:szCs w:val="24"/>
          <w:lang w:eastAsia="pt-BR"/>
        </w:rPr>
      </w:pPr>
      <w:r w:rsidRPr="005A41BF">
        <w:rPr>
          <w:rFonts w:ascii="Arial" w:eastAsia="Times New Roman" w:hAnsi="Arial" w:cs="Arial"/>
          <w:sz w:val="20"/>
          <w:szCs w:val="20"/>
          <w:lang w:eastAsia="pt-BR"/>
        </w:rPr>
        <w:t>Diante do enorme estímulo monetário injetados pelos bancos centrais ao redor do mundo, os mercados de ativos têm reagido de forma peculiar, vemos os resultados mais a frente, porém isso irá levar a uma descolada da economia real, o que traz um risco de correção.</w:t>
      </w:r>
    </w:p>
    <w:p w:rsidR="00B75C56" w:rsidRPr="005A41BF" w:rsidRDefault="00B75C56" w:rsidP="00B75C56">
      <w:pPr>
        <w:spacing w:before="240" w:after="100" w:afterAutospacing="1" w:line="240" w:lineRule="auto"/>
        <w:rPr>
          <w:rFonts w:ascii="Times New Roman" w:eastAsia="Times New Roman" w:hAnsi="Times New Roman" w:cs="Times New Roman"/>
          <w:sz w:val="24"/>
          <w:szCs w:val="24"/>
          <w:lang w:eastAsia="pt-BR"/>
        </w:rPr>
      </w:pPr>
      <w:r w:rsidRPr="005A41BF">
        <w:rPr>
          <w:rFonts w:ascii="Arial" w:eastAsia="Times New Roman" w:hAnsi="Arial" w:cs="Arial"/>
          <w:b/>
          <w:bCs/>
          <w:sz w:val="20"/>
          <w:szCs w:val="20"/>
          <w:lang w:eastAsia="pt-BR"/>
        </w:rPr>
        <w:t>EUA</w:t>
      </w:r>
    </w:p>
    <w:p w:rsidR="00B75C56" w:rsidRPr="005A41BF" w:rsidRDefault="00B75C56" w:rsidP="005A41BF">
      <w:pPr>
        <w:spacing w:before="240" w:after="100" w:afterAutospacing="1" w:line="240" w:lineRule="auto"/>
        <w:jc w:val="both"/>
        <w:rPr>
          <w:rFonts w:ascii="Arial" w:eastAsia="Times New Roman" w:hAnsi="Arial" w:cs="Arial"/>
          <w:color w:val="FF0000"/>
          <w:sz w:val="20"/>
          <w:szCs w:val="20"/>
          <w:lang w:eastAsia="pt-BR"/>
        </w:rPr>
      </w:pPr>
      <w:r w:rsidRPr="005A41BF">
        <w:rPr>
          <w:rFonts w:ascii="Arial" w:eastAsia="Times New Roman" w:hAnsi="Arial" w:cs="Arial"/>
          <w:sz w:val="20"/>
          <w:szCs w:val="20"/>
          <w:lang w:eastAsia="pt-BR"/>
        </w:rPr>
        <w:t>A produção industrial dos EUA cresceu 5,4% em junho, em relação a maio, alcançando um nível mais alto do que o esperado pelo mercado. Com a reabertura das fábricas dos EUA, a produção industrial foi capaz de se recuperar do declínio recorde de abril. Ainda assim, apesar dos recentes ganhos, o índice registra no segundo trimestre de 2020 uma queda de 42,6%, em relação ao mesmo período do ano passado. Trata-se da maior contração trimestral desde a Segunda Guerra Mundial.</w:t>
      </w:r>
      <w:r w:rsidRPr="005A41BF">
        <w:rPr>
          <w:rFonts w:ascii="Arial" w:eastAsia="Times New Roman" w:hAnsi="Arial" w:cs="Arial"/>
          <w:color w:val="FF0000"/>
          <w:sz w:val="20"/>
          <w:szCs w:val="20"/>
          <w:lang w:eastAsia="pt-BR"/>
        </w:rPr>
        <w:t xml:space="preserve"> </w:t>
      </w:r>
    </w:p>
    <w:p w:rsidR="00B75C56" w:rsidRPr="00D13D74" w:rsidRDefault="00B75C56" w:rsidP="005A41BF">
      <w:pPr>
        <w:spacing w:before="240" w:after="100" w:afterAutospacing="1" w:line="240" w:lineRule="auto"/>
        <w:jc w:val="both"/>
        <w:rPr>
          <w:rFonts w:ascii="Times New Roman" w:eastAsia="Times New Roman" w:hAnsi="Times New Roman" w:cs="Times New Roman"/>
          <w:sz w:val="24"/>
          <w:szCs w:val="24"/>
          <w:lang w:eastAsia="pt-BR"/>
        </w:rPr>
      </w:pPr>
      <w:r w:rsidRPr="005A41BF">
        <w:rPr>
          <w:rFonts w:ascii="Arial" w:eastAsia="Times New Roman" w:hAnsi="Arial" w:cs="Arial"/>
          <w:sz w:val="20"/>
          <w:szCs w:val="20"/>
          <w:lang w:eastAsia="pt-BR"/>
        </w:rPr>
        <w:t xml:space="preserve">Após três meses seguidos de deflação, foi divulgado pelo Instituto de Estatística que o índice de preços ao consumidor - CPI subiu 0,6% em junho. O dado já reflete o relaxamento das medidas de </w:t>
      </w:r>
      <w:proofErr w:type="spellStart"/>
      <w:r w:rsidRPr="005A41BF">
        <w:rPr>
          <w:rFonts w:ascii="Arial" w:eastAsia="Times New Roman" w:hAnsi="Arial" w:cs="Arial"/>
          <w:sz w:val="20"/>
          <w:lang w:eastAsia="pt-BR"/>
        </w:rPr>
        <w:t>lockdown</w:t>
      </w:r>
      <w:proofErr w:type="spellEnd"/>
      <w:r w:rsidRPr="005A41BF">
        <w:rPr>
          <w:rFonts w:ascii="Arial" w:eastAsia="Times New Roman" w:hAnsi="Arial" w:cs="Arial"/>
          <w:sz w:val="20"/>
          <w:szCs w:val="20"/>
          <w:lang w:eastAsia="pt-BR"/>
        </w:rPr>
        <w:t xml:space="preserve"> que permitiram a reabertura de lojas e estabelecimentos comerciais. </w:t>
      </w:r>
      <w:proofErr w:type="gramStart"/>
      <w:r w:rsidRPr="005A41BF">
        <w:rPr>
          <w:rFonts w:ascii="Arial" w:eastAsia="Times New Roman" w:hAnsi="Arial" w:cs="Arial"/>
          <w:sz w:val="20"/>
          <w:szCs w:val="20"/>
          <w:lang w:eastAsia="pt-BR"/>
        </w:rPr>
        <w:t xml:space="preserve">O núcleo da inflação, que exclui as categorias </w:t>
      </w:r>
      <w:r w:rsidR="005A41BF" w:rsidRPr="005A41BF">
        <w:rPr>
          <w:rFonts w:ascii="Arial" w:eastAsia="Times New Roman" w:hAnsi="Arial" w:cs="Arial"/>
          <w:sz w:val="20"/>
          <w:szCs w:val="20"/>
          <w:lang w:eastAsia="pt-BR"/>
        </w:rPr>
        <w:t>freqüentemente</w:t>
      </w:r>
      <w:r w:rsidRPr="005A41BF">
        <w:rPr>
          <w:rFonts w:ascii="Arial" w:eastAsia="Times New Roman" w:hAnsi="Arial" w:cs="Arial"/>
          <w:sz w:val="20"/>
          <w:szCs w:val="20"/>
          <w:lang w:eastAsia="pt-BR"/>
        </w:rPr>
        <w:t xml:space="preserve"> voláteis de alimentos e energia, aumentaram</w:t>
      </w:r>
      <w:proofErr w:type="gramEnd"/>
      <w:r w:rsidRPr="005A41BF">
        <w:rPr>
          <w:rFonts w:ascii="Arial" w:eastAsia="Times New Roman" w:hAnsi="Arial" w:cs="Arial"/>
          <w:sz w:val="20"/>
          <w:szCs w:val="20"/>
          <w:lang w:eastAsia="pt-BR"/>
        </w:rPr>
        <w:t xml:space="preserve"> 1,2% no ano, </w:t>
      </w:r>
      <w:r w:rsidRPr="00D13D74">
        <w:rPr>
          <w:rFonts w:ascii="Arial" w:eastAsia="Times New Roman" w:hAnsi="Arial" w:cs="Arial"/>
          <w:sz w:val="20"/>
          <w:szCs w:val="20"/>
          <w:lang w:eastAsia="pt-BR"/>
        </w:rPr>
        <w:t>inalterados em relação ao mês passado.</w:t>
      </w:r>
    </w:p>
    <w:p w:rsidR="00B75C56" w:rsidRPr="00D13D74" w:rsidRDefault="00B75C56" w:rsidP="005A41BF">
      <w:pPr>
        <w:spacing w:before="240" w:after="100" w:afterAutospacing="1" w:line="240" w:lineRule="auto"/>
        <w:jc w:val="both"/>
        <w:rPr>
          <w:rFonts w:ascii="Times New Roman" w:eastAsia="Times New Roman" w:hAnsi="Times New Roman" w:cs="Times New Roman"/>
          <w:sz w:val="24"/>
          <w:szCs w:val="24"/>
          <w:lang w:eastAsia="pt-BR"/>
        </w:rPr>
      </w:pPr>
      <w:r w:rsidRPr="00D13D74">
        <w:rPr>
          <w:rFonts w:ascii="Arial" w:eastAsia="Times New Roman" w:hAnsi="Arial" w:cs="Arial"/>
          <w:sz w:val="20"/>
          <w:szCs w:val="20"/>
          <w:lang w:eastAsia="pt-BR"/>
        </w:rPr>
        <w:t xml:space="preserve">Do lado da demanda, o Departamento do Comércio dos EUA divulgou que as vendas no varejo avançaram 7,5% em junho. </w:t>
      </w:r>
      <w:proofErr w:type="gramStart"/>
      <w:r w:rsidRPr="00D13D74">
        <w:rPr>
          <w:rFonts w:ascii="Arial" w:eastAsia="Times New Roman" w:hAnsi="Arial" w:cs="Arial"/>
          <w:sz w:val="20"/>
          <w:szCs w:val="20"/>
          <w:lang w:eastAsia="pt-BR"/>
        </w:rPr>
        <w:t>O número que representa as compras em lojas, restaurantes e e-commerce totalizaram</w:t>
      </w:r>
      <w:proofErr w:type="gramEnd"/>
      <w:r w:rsidRPr="00D13D74">
        <w:rPr>
          <w:rFonts w:ascii="Arial" w:eastAsia="Times New Roman" w:hAnsi="Arial" w:cs="Arial"/>
          <w:sz w:val="20"/>
          <w:szCs w:val="20"/>
          <w:lang w:eastAsia="pt-BR"/>
        </w:rPr>
        <w:t xml:space="preserve"> US$ 524,3 bilhões (cerca de R$ 2,81 trilhões) no mês, aproximando-se aos níveis da </w:t>
      </w:r>
      <w:r w:rsidRPr="00D13D74">
        <w:rPr>
          <w:rFonts w:ascii="Arial" w:eastAsia="Times New Roman" w:hAnsi="Arial" w:cs="Arial"/>
          <w:sz w:val="20"/>
          <w:lang w:eastAsia="pt-BR"/>
        </w:rPr>
        <w:t>pré</w:t>
      </w:r>
      <w:r w:rsidRPr="00D13D74">
        <w:rPr>
          <w:rFonts w:ascii="Arial" w:eastAsia="Times New Roman" w:hAnsi="Arial" w:cs="Arial"/>
          <w:sz w:val="20"/>
          <w:szCs w:val="20"/>
          <w:lang w:eastAsia="pt-BR"/>
        </w:rPr>
        <w:t xml:space="preserve">-pandemia. O aumento foi impulsionado por uma retomada nas vendas de automóveis, móveis, roupas e eletrônicos, já que os consumidores voltaram às lojas após a reabertura da economia. </w:t>
      </w:r>
    </w:p>
    <w:p w:rsidR="00B75C56" w:rsidRPr="00D13D74" w:rsidRDefault="00B75C56" w:rsidP="00D13D74">
      <w:pPr>
        <w:spacing w:before="240" w:after="100" w:afterAutospacing="1" w:line="240" w:lineRule="auto"/>
        <w:jc w:val="both"/>
        <w:rPr>
          <w:rFonts w:ascii="Times New Roman" w:eastAsia="Times New Roman" w:hAnsi="Times New Roman" w:cs="Times New Roman"/>
          <w:sz w:val="24"/>
          <w:szCs w:val="24"/>
          <w:lang w:eastAsia="pt-BR"/>
        </w:rPr>
      </w:pPr>
      <w:r w:rsidRPr="00D13D74">
        <w:rPr>
          <w:rFonts w:ascii="Arial" w:eastAsia="Times New Roman" w:hAnsi="Arial" w:cs="Arial"/>
          <w:sz w:val="20"/>
          <w:szCs w:val="20"/>
          <w:lang w:eastAsia="pt-BR"/>
        </w:rPr>
        <w:t>Em relação ao mercado de trabalho norte-americano, o Departamento do Trabalho divulgou a criação de 4,8 milhões de vagas de emprego em junho. O resultado superou a expectativa de economistas, que esperavam a geração de 2,9 milhões de vagas no período. Assim, a taxa de desemprego no país caiu para 11,1% em junho ante 13,3% em maio. A expectativa era que a taxa recuasse para 12,4%. Com esses números, o país contabiliza 17,8 milhões de pessoas desempregadas.</w:t>
      </w:r>
    </w:p>
    <w:p w:rsidR="00B75C56" w:rsidRPr="00D13D74" w:rsidRDefault="00B75C56" w:rsidP="00D13D74">
      <w:pPr>
        <w:spacing w:before="240" w:after="100" w:afterAutospacing="1" w:line="240" w:lineRule="auto"/>
        <w:jc w:val="both"/>
        <w:rPr>
          <w:rFonts w:ascii="Times New Roman" w:eastAsia="Times New Roman" w:hAnsi="Times New Roman" w:cs="Times New Roman"/>
          <w:sz w:val="24"/>
          <w:szCs w:val="24"/>
          <w:lang w:eastAsia="pt-BR"/>
        </w:rPr>
      </w:pPr>
      <w:r w:rsidRPr="00D13D74">
        <w:rPr>
          <w:rFonts w:ascii="Arial" w:eastAsia="Times New Roman" w:hAnsi="Arial" w:cs="Arial"/>
          <w:sz w:val="20"/>
          <w:szCs w:val="20"/>
          <w:lang w:eastAsia="pt-BR"/>
        </w:rPr>
        <w:t xml:space="preserve">Conforme previsão do FMI - Fundo Monetário Internacional, o PIB norte-americano deve contrair -37% anuais no 2º trimestre, e uma recuperação nos trimestres seguintes até fechar o ano com contração de -6,6%. Segundo o órgão, uma segunda onda de contágios </w:t>
      </w:r>
      <w:proofErr w:type="gramStart"/>
      <w:r w:rsidRPr="00D13D74">
        <w:rPr>
          <w:rFonts w:ascii="Arial" w:eastAsia="Times New Roman" w:hAnsi="Arial" w:cs="Arial"/>
          <w:sz w:val="20"/>
          <w:szCs w:val="20"/>
          <w:lang w:eastAsia="pt-BR"/>
        </w:rPr>
        <w:t xml:space="preserve">pelo </w:t>
      </w:r>
      <w:proofErr w:type="spellStart"/>
      <w:r w:rsidRPr="00D13D74">
        <w:rPr>
          <w:rFonts w:ascii="Arial" w:eastAsia="Times New Roman" w:hAnsi="Arial" w:cs="Arial"/>
          <w:sz w:val="20"/>
          <w:szCs w:val="20"/>
          <w:lang w:eastAsia="pt-BR"/>
        </w:rPr>
        <w:t>corona-vírus</w:t>
      </w:r>
      <w:proofErr w:type="spellEnd"/>
      <w:proofErr w:type="gramEnd"/>
      <w:r w:rsidRPr="00D13D74">
        <w:rPr>
          <w:rFonts w:ascii="Arial" w:eastAsia="Times New Roman" w:hAnsi="Arial" w:cs="Arial"/>
          <w:sz w:val="20"/>
          <w:szCs w:val="20"/>
          <w:lang w:eastAsia="pt-BR"/>
        </w:rPr>
        <w:t xml:space="preserve"> exigirá uma nova rodada de medidas fiscais nos próximos meses para estimular a demanda, aumentar a preparação do setor de saúde e apoiar os mais vulneráveis, destacando que o país tem espaço fiscal e isso deve ser implantado rapidamente para acelerar a recuperação após a contração do segundo trimestre.</w:t>
      </w:r>
    </w:p>
    <w:p w:rsidR="00B75C56" w:rsidRPr="0035190F" w:rsidRDefault="00B75C56" w:rsidP="00B75C56">
      <w:pPr>
        <w:spacing w:before="240" w:after="100" w:afterAutospacing="1" w:line="240" w:lineRule="auto"/>
        <w:rPr>
          <w:rFonts w:ascii="Times New Roman" w:eastAsia="Times New Roman" w:hAnsi="Times New Roman" w:cs="Times New Roman"/>
          <w:sz w:val="24"/>
          <w:szCs w:val="24"/>
          <w:lang w:eastAsia="pt-BR"/>
        </w:rPr>
      </w:pPr>
      <w:r w:rsidRPr="0035190F">
        <w:rPr>
          <w:rFonts w:ascii="Arial" w:eastAsia="Times New Roman" w:hAnsi="Arial" w:cs="Arial"/>
          <w:b/>
          <w:bCs/>
          <w:sz w:val="20"/>
          <w:szCs w:val="20"/>
          <w:lang w:eastAsia="pt-BR"/>
        </w:rPr>
        <w:t>ÁSIA</w:t>
      </w:r>
    </w:p>
    <w:p w:rsidR="00B75C56" w:rsidRPr="0035190F" w:rsidRDefault="00B75C56" w:rsidP="0035190F">
      <w:pPr>
        <w:spacing w:before="240" w:after="100" w:afterAutospacing="1" w:line="240" w:lineRule="auto"/>
        <w:jc w:val="both"/>
        <w:rPr>
          <w:rFonts w:ascii="Times New Roman" w:eastAsia="Times New Roman" w:hAnsi="Times New Roman" w:cs="Times New Roman"/>
          <w:sz w:val="24"/>
          <w:szCs w:val="24"/>
          <w:lang w:eastAsia="pt-BR"/>
        </w:rPr>
      </w:pPr>
      <w:r w:rsidRPr="0035190F">
        <w:rPr>
          <w:rFonts w:ascii="Arial" w:eastAsia="Times New Roman" w:hAnsi="Arial" w:cs="Arial"/>
          <w:sz w:val="20"/>
          <w:szCs w:val="20"/>
          <w:lang w:eastAsia="pt-BR"/>
        </w:rPr>
        <w:t xml:space="preserve">Na China, a produção industrial já voltou a crescer na comparação </w:t>
      </w:r>
      <w:proofErr w:type="spellStart"/>
      <w:r w:rsidRPr="0035190F">
        <w:rPr>
          <w:rFonts w:ascii="Arial" w:eastAsia="Times New Roman" w:hAnsi="Arial" w:cs="Arial"/>
          <w:sz w:val="20"/>
          <w:szCs w:val="20"/>
          <w:lang w:eastAsia="pt-BR"/>
        </w:rPr>
        <w:t>interanual</w:t>
      </w:r>
      <w:proofErr w:type="spellEnd"/>
      <w:r w:rsidRPr="0035190F">
        <w:rPr>
          <w:rFonts w:ascii="Arial" w:eastAsia="Times New Roman" w:hAnsi="Arial" w:cs="Arial"/>
          <w:sz w:val="20"/>
          <w:szCs w:val="20"/>
          <w:lang w:eastAsia="pt-BR"/>
        </w:rPr>
        <w:t xml:space="preserve"> (4,2% ao ano, em média, em abril e maio), após fortes quedas, de 13,5% em média, em janeiro e em fevereiro. As vendas do comércio, em contrapartida, ainda apresentam taxas negativas (mas decrescentes) na comparação </w:t>
      </w:r>
      <w:proofErr w:type="spellStart"/>
      <w:r w:rsidRPr="0035190F">
        <w:rPr>
          <w:rFonts w:ascii="Arial" w:eastAsia="Times New Roman" w:hAnsi="Arial" w:cs="Arial"/>
          <w:sz w:val="20"/>
          <w:szCs w:val="20"/>
          <w:lang w:eastAsia="pt-BR"/>
        </w:rPr>
        <w:t>interanual</w:t>
      </w:r>
      <w:proofErr w:type="spellEnd"/>
      <w:r w:rsidRPr="0035190F">
        <w:rPr>
          <w:rFonts w:ascii="Arial" w:eastAsia="Times New Roman" w:hAnsi="Arial" w:cs="Arial"/>
          <w:sz w:val="20"/>
          <w:szCs w:val="20"/>
          <w:lang w:eastAsia="pt-BR"/>
        </w:rPr>
        <w:t>, indicando a possível presença de restrições à mobilidade e o impacto da perda de renda dos consumidores, aliado a uma maior cautela diante das incertezas que permanecem.</w:t>
      </w:r>
    </w:p>
    <w:p w:rsidR="00B75C56" w:rsidRPr="0035190F" w:rsidRDefault="00B75C56" w:rsidP="0035190F">
      <w:pPr>
        <w:spacing w:before="240" w:after="100" w:afterAutospacing="1" w:line="240" w:lineRule="auto"/>
        <w:jc w:val="both"/>
        <w:rPr>
          <w:rFonts w:ascii="Times New Roman" w:eastAsia="Times New Roman" w:hAnsi="Times New Roman" w:cs="Times New Roman"/>
          <w:sz w:val="24"/>
          <w:szCs w:val="24"/>
          <w:lang w:eastAsia="pt-BR"/>
        </w:rPr>
      </w:pPr>
      <w:r w:rsidRPr="0035190F">
        <w:rPr>
          <w:rFonts w:ascii="Arial" w:eastAsia="Times New Roman" w:hAnsi="Arial" w:cs="Arial"/>
          <w:sz w:val="20"/>
          <w:szCs w:val="20"/>
          <w:lang w:eastAsia="pt-BR"/>
        </w:rPr>
        <w:t xml:space="preserve">A região da Ásia Oriental, a primeira a enfrentar os problemas oriundos da contaminação </w:t>
      </w:r>
      <w:proofErr w:type="gramStart"/>
      <w:r w:rsidRPr="0035190F">
        <w:rPr>
          <w:rFonts w:ascii="Arial" w:eastAsia="Times New Roman" w:hAnsi="Arial" w:cs="Arial"/>
          <w:sz w:val="20"/>
          <w:szCs w:val="20"/>
          <w:lang w:eastAsia="pt-BR"/>
        </w:rPr>
        <w:t xml:space="preserve">pelo </w:t>
      </w:r>
      <w:proofErr w:type="spellStart"/>
      <w:r w:rsidRPr="0035190F">
        <w:rPr>
          <w:rFonts w:ascii="Arial" w:eastAsia="Times New Roman" w:hAnsi="Arial" w:cs="Arial"/>
          <w:sz w:val="20"/>
          <w:szCs w:val="20"/>
          <w:lang w:eastAsia="pt-BR"/>
        </w:rPr>
        <w:t>corona-vírus</w:t>
      </w:r>
      <w:proofErr w:type="spellEnd"/>
      <w:proofErr w:type="gramEnd"/>
      <w:r w:rsidRPr="0035190F">
        <w:rPr>
          <w:rFonts w:ascii="Arial" w:eastAsia="Times New Roman" w:hAnsi="Arial" w:cs="Arial"/>
          <w:sz w:val="20"/>
          <w:szCs w:val="20"/>
          <w:lang w:eastAsia="pt-BR"/>
        </w:rPr>
        <w:t xml:space="preserve">, também foi a primeira a aliviar as medidas de isolamento e retomar as atividades. Conforme informou a agência </w:t>
      </w:r>
      <w:proofErr w:type="spellStart"/>
      <w:r w:rsidRPr="0035190F">
        <w:rPr>
          <w:rFonts w:ascii="Arial" w:eastAsia="Times New Roman" w:hAnsi="Arial" w:cs="Arial"/>
          <w:sz w:val="20"/>
          <w:lang w:eastAsia="pt-BR"/>
        </w:rPr>
        <w:t>Caixin</w:t>
      </w:r>
      <w:proofErr w:type="spellEnd"/>
      <w:r w:rsidRPr="0035190F">
        <w:rPr>
          <w:rFonts w:ascii="Arial" w:eastAsia="Times New Roman" w:hAnsi="Arial" w:cs="Arial"/>
          <w:sz w:val="20"/>
          <w:szCs w:val="20"/>
          <w:lang w:eastAsia="pt-BR"/>
        </w:rPr>
        <w:t>/</w:t>
      </w:r>
      <w:proofErr w:type="spellStart"/>
      <w:r w:rsidRPr="0035190F">
        <w:rPr>
          <w:rFonts w:ascii="Arial" w:eastAsia="Times New Roman" w:hAnsi="Arial" w:cs="Arial"/>
          <w:sz w:val="20"/>
          <w:lang w:eastAsia="pt-BR"/>
        </w:rPr>
        <w:t>Markit</w:t>
      </w:r>
      <w:proofErr w:type="spellEnd"/>
      <w:r w:rsidRPr="0035190F">
        <w:rPr>
          <w:rFonts w:ascii="Arial" w:eastAsia="Times New Roman" w:hAnsi="Arial" w:cs="Arial"/>
          <w:sz w:val="20"/>
          <w:szCs w:val="20"/>
          <w:lang w:eastAsia="pt-BR"/>
        </w:rPr>
        <w:t xml:space="preserve">, o índice de gerente de compras (PMI, na sigla em inglês) industrial chinês subiu a 50,7 pontos em maio, de 49,4 pontos no mês anterior. Embora modesta, a </w:t>
      </w:r>
      <w:r w:rsidRPr="0035190F">
        <w:rPr>
          <w:rFonts w:ascii="Arial" w:eastAsia="Times New Roman" w:hAnsi="Arial" w:cs="Arial"/>
          <w:sz w:val="20"/>
          <w:szCs w:val="20"/>
          <w:lang w:eastAsia="pt-BR"/>
        </w:rPr>
        <w:lastRenderedPageBreak/>
        <w:t>leitura de maio foi a mais alta desde janeiro, diante do forte aumento da produção em razão do retorno das empresas ao trabalho. Porém, a demanda permaneceu fraca, pois muitos dos parceiros comerciais da China ainda estão no auge da pandemia, então as novas encomendas para exportação</w:t>
      </w:r>
      <w:r w:rsidRPr="00B75C56">
        <w:rPr>
          <w:rFonts w:ascii="Arial" w:eastAsia="Times New Roman" w:hAnsi="Arial" w:cs="Arial"/>
          <w:color w:val="FF0000"/>
          <w:sz w:val="20"/>
          <w:szCs w:val="20"/>
          <w:lang w:eastAsia="pt-BR"/>
        </w:rPr>
        <w:t xml:space="preserve"> </w:t>
      </w:r>
      <w:r w:rsidRPr="0035190F">
        <w:rPr>
          <w:rFonts w:ascii="Arial" w:eastAsia="Times New Roman" w:hAnsi="Arial" w:cs="Arial"/>
          <w:sz w:val="20"/>
          <w:szCs w:val="20"/>
          <w:lang w:eastAsia="pt-BR"/>
        </w:rPr>
        <w:t>permanecem em patamares baixos. O PMI composto oficial de maio, que inclui atividades de manufatura e serviços, permaneceu estável em 53,4 pontos.</w:t>
      </w:r>
    </w:p>
    <w:p w:rsidR="00B75C56" w:rsidRPr="0035190F" w:rsidRDefault="00B75C56" w:rsidP="0035190F">
      <w:pPr>
        <w:spacing w:before="240" w:after="100" w:afterAutospacing="1" w:line="240" w:lineRule="auto"/>
        <w:jc w:val="both"/>
        <w:rPr>
          <w:rFonts w:ascii="Times New Roman" w:eastAsia="Times New Roman" w:hAnsi="Times New Roman" w:cs="Times New Roman"/>
          <w:sz w:val="24"/>
          <w:szCs w:val="24"/>
          <w:lang w:eastAsia="pt-BR"/>
        </w:rPr>
      </w:pPr>
      <w:r w:rsidRPr="0035190F">
        <w:rPr>
          <w:rFonts w:ascii="Arial" w:eastAsia="Times New Roman" w:hAnsi="Arial" w:cs="Arial"/>
          <w:sz w:val="20"/>
          <w:szCs w:val="20"/>
          <w:lang w:eastAsia="pt-BR"/>
        </w:rPr>
        <w:t xml:space="preserve">A Agência Nacional de Estatísticas informou que a produção industrial chinesa acelerou a 4,4% em maio na comparação com maio do ano passado, e segundo mês consecutivo de expansão, após alta de 3,9% em abril. Ainda assim, o número foi pior que o previsto em meio à queda nas exportações e da demanda doméstica ainda em recuperação lenta. </w:t>
      </w:r>
    </w:p>
    <w:p w:rsidR="00B75C56" w:rsidRPr="0035190F" w:rsidRDefault="00B75C56" w:rsidP="0035190F">
      <w:pPr>
        <w:spacing w:before="240" w:after="100" w:afterAutospacing="1" w:line="240" w:lineRule="auto"/>
        <w:jc w:val="both"/>
        <w:rPr>
          <w:rFonts w:ascii="Times New Roman" w:eastAsia="Times New Roman" w:hAnsi="Times New Roman" w:cs="Times New Roman"/>
          <w:sz w:val="24"/>
          <w:szCs w:val="24"/>
          <w:lang w:eastAsia="pt-BR"/>
        </w:rPr>
      </w:pPr>
      <w:r w:rsidRPr="0035190F">
        <w:rPr>
          <w:rFonts w:ascii="Arial" w:eastAsia="Times New Roman" w:hAnsi="Arial" w:cs="Arial"/>
          <w:sz w:val="20"/>
          <w:szCs w:val="20"/>
          <w:lang w:eastAsia="pt-BR"/>
        </w:rPr>
        <w:t xml:space="preserve">No Japão, foi revelado que o PMI industrial caiu a 49,6 pontos em maio, em leitura preliminar medido pela IHS </w:t>
      </w:r>
      <w:proofErr w:type="spellStart"/>
      <w:r w:rsidRPr="0035190F">
        <w:rPr>
          <w:rFonts w:ascii="Arial" w:eastAsia="Times New Roman" w:hAnsi="Arial" w:cs="Arial"/>
          <w:sz w:val="20"/>
          <w:lang w:eastAsia="pt-BR"/>
        </w:rPr>
        <w:t>Markit</w:t>
      </w:r>
      <w:proofErr w:type="spellEnd"/>
      <w:r w:rsidRPr="0035190F">
        <w:rPr>
          <w:rFonts w:ascii="Arial" w:eastAsia="Times New Roman" w:hAnsi="Arial" w:cs="Arial"/>
          <w:sz w:val="20"/>
          <w:szCs w:val="20"/>
          <w:lang w:eastAsia="pt-BR"/>
        </w:rPr>
        <w:t>, ante 50,2 pontos em abril. Enquanto isso, o presidente do banco central local (</w:t>
      </w:r>
      <w:proofErr w:type="spellStart"/>
      <w:proofErr w:type="gramStart"/>
      <w:r w:rsidRPr="0035190F">
        <w:rPr>
          <w:rFonts w:ascii="Arial" w:eastAsia="Times New Roman" w:hAnsi="Arial" w:cs="Arial"/>
          <w:sz w:val="20"/>
          <w:lang w:eastAsia="pt-BR"/>
        </w:rPr>
        <w:t>BoJ</w:t>
      </w:r>
      <w:proofErr w:type="spellEnd"/>
      <w:proofErr w:type="gramEnd"/>
      <w:r w:rsidRPr="0035190F">
        <w:rPr>
          <w:rFonts w:ascii="Arial" w:eastAsia="Times New Roman" w:hAnsi="Arial" w:cs="Arial"/>
          <w:sz w:val="20"/>
          <w:szCs w:val="20"/>
          <w:lang w:eastAsia="pt-BR"/>
        </w:rPr>
        <w:t>, na sigla em inglês), declarou que a autoridade monetária está pronta para tomar medidas adicionais para amortecer o impacto da pandemia pelo "</w:t>
      </w:r>
      <w:proofErr w:type="spellStart"/>
      <w:r w:rsidRPr="0035190F">
        <w:rPr>
          <w:rFonts w:ascii="Arial" w:eastAsia="Times New Roman" w:hAnsi="Arial" w:cs="Arial"/>
          <w:sz w:val="20"/>
          <w:lang w:eastAsia="pt-BR"/>
        </w:rPr>
        <w:t>coronavírus</w:t>
      </w:r>
      <w:proofErr w:type="spellEnd"/>
      <w:r w:rsidRPr="0035190F">
        <w:rPr>
          <w:rFonts w:ascii="Arial" w:eastAsia="Times New Roman" w:hAnsi="Arial" w:cs="Arial"/>
          <w:sz w:val="20"/>
          <w:szCs w:val="20"/>
          <w:lang w:eastAsia="pt-BR"/>
        </w:rPr>
        <w:t xml:space="preserve">", dias após o banco anunciar disponibilidade para injetar 1,7 trilhões de ienes, o equivalente a US$ 15,8 bilhões, em empréstimos a empresas atingidas pela pandemia. </w:t>
      </w:r>
    </w:p>
    <w:p w:rsidR="00B75C56" w:rsidRPr="0035190F" w:rsidRDefault="00B75C56" w:rsidP="0035190F">
      <w:pPr>
        <w:spacing w:before="240" w:after="100" w:afterAutospacing="1" w:line="240" w:lineRule="auto"/>
        <w:jc w:val="both"/>
        <w:rPr>
          <w:rFonts w:ascii="Times New Roman" w:eastAsia="Times New Roman" w:hAnsi="Times New Roman" w:cs="Times New Roman"/>
          <w:sz w:val="24"/>
          <w:szCs w:val="24"/>
          <w:lang w:eastAsia="pt-BR"/>
        </w:rPr>
      </w:pPr>
      <w:r w:rsidRPr="0035190F">
        <w:rPr>
          <w:rFonts w:ascii="Arial" w:eastAsia="Times New Roman" w:hAnsi="Arial" w:cs="Arial"/>
          <w:sz w:val="20"/>
          <w:szCs w:val="20"/>
          <w:lang w:eastAsia="pt-BR"/>
        </w:rPr>
        <w:t xml:space="preserve">A inflação japonesa confirma o cenário de economia estagnada. O núcleo os preços ao consumidor no Japão caíram pelo segundo mês seguido em maio, reforçando as expectativas de deflação e levantando um desafio para as autoridades na batalha para reanimar a economia após a pandemia. Os dados provavelmente irão complicar o trabalho do </w:t>
      </w:r>
      <w:proofErr w:type="spellStart"/>
      <w:proofErr w:type="gramStart"/>
      <w:r w:rsidRPr="0035190F">
        <w:rPr>
          <w:rFonts w:ascii="Arial" w:eastAsia="Times New Roman" w:hAnsi="Arial" w:cs="Arial"/>
          <w:sz w:val="20"/>
          <w:lang w:eastAsia="pt-BR"/>
        </w:rPr>
        <w:t>BoJ</w:t>
      </w:r>
      <w:proofErr w:type="spellEnd"/>
      <w:proofErr w:type="gramEnd"/>
      <w:r w:rsidRPr="0035190F">
        <w:rPr>
          <w:rFonts w:ascii="Arial" w:eastAsia="Times New Roman" w:hAnsi="Arial" w:cs="Arial"/>
          <w:sz w:val="20"/>
          <w:szCs w:val="20"/>
          <w:lang w:eastAsia="pt-BR"/>
        </w:rPr>
        <w:t xml:space="preserve"> de restaurar o crescimento e a inflação, com uma série de indicadores recentes sugerindo que o país está em sua pior queda econômica pós-guerra.</w:t>
      </w:r>
    </w:p>
    <w:p w:rsidR="00B75C56" w:rsidRPr="0035190F" w:rsidRDefault="00B75C56" w:rsidP="0035190F">
      <w:pPr>
        <w:spacing w:before="240" w:after="100" w:afterAutospacing="1" w:line="240" w:lineRule="auto"/>
        <w:jc w:val="both"/>
        <w:rPr>
          <w:rFonts w:ascii="Times New Roman" w:eastAsia="Times New Roman" w:hAnsi="Times New Roman" w:cs="Times New Roman"/>
          <w:sz w:val="24"/>
          <w:szCs w:val="24"/>
          <w:lang w:eastAsia="pt-BR"/>
        </w:rPr>
      </w:pPr>
      <w:r w:rsidRPr="0035190F">
        <w:rPr>
          <w:rFonts w:ascii="Arial" w:eastAsia="Times New Roman" w:hAnsi="Arial" w:cs="Arial"/>
          <w:b/>
          <w:bCs/>
          <w:sz w:val="20"/>
          <w:szCs w:val="20"/>
          <w:lang w:eastAsia="pt-BR"/>
        </w:rPr>
        <w:t>EUROPA</w:t>
      </w:r>
    </w:p>
    <w:p w:rsidR="00B75C56" w:rsidRPr="0035190F" w:rsidRDefault="00B75C56" w:rsidP="0035190F">
      <w:pPr>
        <w:spacing w:before="240" w:after="100" w:afterAutospacing="1" w:line="240" w:lineRule="auto"/>
        <w:jc w:val="both"/>
        <w:rPr>
          <w:rFonts w:ascii="Times New Roman" w:eastAsia="Times New Roman" w:hAnsi="Times New Roman" w:cs="Times New Roman"/>
          <w:sz w:val="24"/>
          <w:szCs w:val="24"/>
          <w:lang w:eastAsia="pt-BR"/>
        </w:rPr>
      </w:pPr>
      <w:r w:rsidRPr="0035190F">
        <w:rPr>
          <w:rFonts w:ascii="Arial" w:eastAsia="Times New Roman" w:hAnsi="Arial" w:cs="Arial"/>
          <w:sz w:val="20"/>
          <w:szCs w:val="20"/>
          <w:lang w:eastAsia="pt-BR"/>
        </w:rPr>
        <w:t xml:space="preserve">A economia </w:t>
      </w:r>
      <w:r w:rsidR="0035190F" w:rsidRPr="0035190F">
        <w:rPr>
          <w:rFonts w:ascii="Arial" w:eastAsia="Times New Roman" w:hAnsi="Arial" w:cs="Arial"/>
          <w:sz w:val="20"/>
          <w:szCs w:val="20"/>
          <w:lang w:eastAsia="pt-BR"/>
        </w:rPr>
        <w:t>européia</w:t>
      </w:r>
      <w:r w:rsidRPr="0035190F">
        <w:rPr>
          <w:rFonts w:ascii="Arial" w:eastAsia="Times New Roman" w:hAnsi="Arial" w:cs="Arial"/>
          <w:sz w:val="20"/>
          <w:szCs w:val="20"/>
          <w:lang w:eastAsia="pt-BR"/>
        </w:rPr>
        <w:t xml:space="preserve"> entrou numa profunda recessão no primeiro semestre de 2020 a pior contração desde a Segunda Guerra Mundial. A propagação da COVID-19</w:t>
      </w:r>
      <w:r w:rsidR="0035190F" w:rsidRPr="0035190F">
        <w:rPr>
          <w:rFonts w:ascii="Arial" w:eastAsia="Times New Roman" w:hAnsi="Arial" w:cs="Arial"/>
          <w:sz w:val="20"/>
          <w:szCs w:val="20"/>
          <w:lang w:eastAsia="pt-BR"/>
        </w:rPr>
        <w:t xml:space="preserve"> gerou</w:t>
      </w:r>
      <w:r w:rsidRPr="0035190F">
        <w:rPr>
          <w:rFonts w:ascii="Arial" w:eastAsia="Times New Roman" w:hAnsi="Arial" w:cs="Arial"/>
          <w:sz w:val="20"/>
          <w:szCs w:val="20"/>
          <w:lang w:eastAsia="pt-BR"/>
        </w:rPr>
        <w:t xml:space="preserve"> medidas de contenção e foram introduzidas em todo o mundo, fechando voluntariamente grande parte da economia. </w:t>
      </w:r>
    </w:p>
    <w:p w:rsidR="00B75C56" w:rsidRPr="0035190F" w:rsidRDefault="00B75C56" w:rsidP="0035190F">
      <w:pPr>
        <w:spacing w:before="240" w:after="100" w:afterAutospacing="1" w:line="240" w:lineRule="auto"/>
        <w:jc w:val="both"/>
        <w:rPr>
          <w:rFonts w:ascii="Times New Roman" w:eastAsia="Times New Roman" w:hAnsi="Times New Roman" w:cs="Times New Roman"/>
          <w:sz w:val="24"/>
          <w:szCs w:val="24"/>
          <w:lang w:eastAsia="pt-BR"/>
        </w:rPr>
      </w:pPr>
      <w:r w:rsidRPr="0035190F">
        <w:rPr>
          <w:rFonts w:ascii="Arial" w:eastAsia="Times New Roman" w:hAnsi="Arial" w:cs="Arial"/>
          <w:sz w:val="20"/>
          <w:szCs w:val="20"/>
          <w:lang w:eastAsia="pt-BR"/>
        </w:rPr>
        <w:t xml:space="preserve">Os indicadores sugerem que a economia da zona euro funcionou entre 25% a 30% abaixo da sua capacidade durante o período do mais rigoroso confinamento. Globalmente, prevê-se que a economia da zona euro se contraia por cerca de 9% em 2020, antes de recuperar a uma taxa de crescimento anual de 6% no próximo ano. </w:t>
      </w:r>
    </w:p>
    <w:p w:rsidR="00B75C56" w:rsidRPr="0035190F" w:rsidRDefault="00B75C56" w:rsidP="0035190F">
      <w:pPr>
        <w:spacing w:before="240" w:after="100" w:afterAutospacing="1" w:line="240" w:lineRule="auto"/>
        <w:jc w:val="both"/>
        <w:rPr>
          <w:rFonts w:ascii="Times New Roman" w:eastAsia="Times New Roman" w:hAnsi="Times New Roman" w:cs="Times New Roman"/>
          <w:sz w:val="24"/>
          <w:szCs w:val="24"/>
          <w:lang w:eastAsia="pt-BR"/>
        </w:rPr>
      </w:pPr>
      <w:r w:rsidRPr="0035190F">
        <w:rPr>
          <w:rFonts w:ascii="Arial" w:eastAsia="Times New Roman" w:hAnsi="Arial" w:cs="Arial"/>
          <w:sz w:val="20"/>
          <w:szCs w:val="20"/>
          <w:lang w:eastAsia="pt-BR"/>
        </w:rPr>
        <w:t xml:space="preserve">Estas projeções são um pouco inferior à previsão da Primavera (março a julho) e apontam para uma recuperação incompleta como resultado no final de 2021 deverá ser cerca de 2% mais baixo do que antes da crise e </w:t>
      </w:r>
      <w:proofErr w:type="gramStart"/>
      <w:r w:rsidRPr="0035190F">
        <w:rPr>
          <w:rFonts w:ascii="Arial" w:eastAsia="Times New Roman" w:hAnsi="Arial" w:cs="Arial"/>
          <w:sz w:val="20"/>
          <w:szCs w:val="20"/>
          <w:lang w:eastAsia="pt-BR"/>
        </w:rPr>
        <w:t>cerca de 4,25</w:t>
      </w:r>
      <w:proofErr w:type="gramEnd"/>
      <w:r w:rsidRPr="0035190F">
        <w:rPr>
          <w:rFonts w:ascii="Arial" w:eastAsia="Times New Roman" w:hAnsi="Arial" w:cs="Arial"/>
          <w:sz w:val="20"/>
          <w:szCs w:val="20"/>
          <w:lang w:eastAsia="pt-BR"/>
        </w:rPr>
        <w:t>% abaixo do nível do PIB previsão no Inverno. As perspectivas de inflação são pouco alteradas desde a previsão da Primavera, prevendo-se 0,3% para este ano e 1,1% em 2021.</w:t>
      </w:r>
    </w:p>
    <w:p w:rsidR="00B75C56" w:rsidRPr="0035190F" w:rsidRDefault="00B75C56" w:rsidP="0035190F">
      <w:pPr>
        <w:spacing w:before="240" w:after="100" w:afterAutospacing="1" w:line="240" w:lineRule="auto"/>
        <w:jc w:val="both"/>
        <w:rPr>
          <w:rFonts w:ascii="Times New Roman" w:eastAsia="Times New Roman" w:hAnsi="Times New Roman" w:cs="Times New Roman"/>
          <w:sz w:val="24"/>
          <w:szCs w:val="24"/>
          <w:lang w:eastAsia="pt-BR"/>
        </w:rPr>
      </w:pPr>
      <w:r w:rsidRPr="0035190F">
        <w:rPr>
          <w:rFonts w:ascii="Arial" w:eastAsia="Times New Roman" w:hAnsi="Arial" w:cs="Arial"/>
          <w:sz w:val="20"/>
          <w:szCs w:val="20"/>
          <w:lang w:eastAsia="pt-BR"/>
        </w:rPr>
        <w:t xml:space="preserve">Dados para o primeiro trimestre confirmaram as estimativas iniciais de um impacto econômico considerável, apesar do confinamento medidas a serem introduzidas apenas por volta de meados de março na maioria dos países. </w:t>
      </w:r>
    </w:p>
    <w:p w:rsidR="00B75C56" w:rsidRPr="0035190F" w:rsidRDefault="00B75C56" w:rsidP="0035190F">
      <w:pPr>
        <w:spacing w:before="240" w:after="100" w:afterAutospacing="1" w:line="240" w:lineRule="auto"/>
        <w:jc w:val="both"/>
        <w:rPr>
          <w:rFonts w:ascii="Times New Roman" w:eastAsia="Times New Roman" w:hAnsi="Times New Roman" w:cs="Times New Roman"/>
          <w:sz w:val="24"/>
          <w:szCs w:val="24"/>
          <w:lang w:eastAsia="pt-BR"/>
        </w:rPr>
      </w:pPr>
      <w:r w:rsidRPr="0035190F">
        <w:rPr>
          <w:rFonts w:ascii="Arial" w:eastAsia="Times New Roman" w:hAnsi="Arial" w:cs="Arial"/>
          <w:sz w:val="20"/>
          <w:szCs w:val="20"/>
          <w:lang w:eastAsia="pt-BR"/>
        </w:rPr>
        <w:t xml:space="preserve">Para o segundo trimestre do ano, todos os indicadores rastreados sugerem uma aceleração da contração da atividade econômica com diferenças persistentes entre países e indústrias. A principal razão para isso é um período de 'bloqueio' em comparação com o primeiro trimestre, enquanto a </w:t>
      </w:r>
      <w:proofErr w:type="gramStart"/>
      <w:r w:rsidRPr="0035190F">
        <w:rPr>
          <w:rFonts w:ascii="Arial" w:eastAsia="Times New Roman" w:hAnsi="Arial" w:cs="Arial"/>
          <w:sz w:val="20"/>
          <w:szCs w:val="20"/>
          <w:lang w:eastAsia="pt-BR"/>
        </w:rPr>
        <w:t>flexibilização</w:t>
      </w:r>
      <w:proofErr w:type="gramEnd"/>
      <w:r w:rsidRPr="0035190F">
        <w:rPr>
          <w:rFonts w:ascii="Arial" w:eastAsia="Times New Roman" w:hAnsi="Arial" w:cs="Arial"/>
          <w:sz w:val="20"/>
          <w:szCs w:val="20"/>
          <w:lang w:eastAsia="pt-BR"/>
        </w:rPr>
        <w:t xml:space="preserve"> das medidas de contenção a partir de o início de maio tem sido apenas gradual. </w:t>
      </w:r>
    </w:p>
    <w:p w:rsidR="00B75C56" w:rsidRPr="0035190F" w:rsidRDefault="00B75C56" w:rsidP="0035190F">
      <w:pPr>
        <w:spacing w:before="240" w:after="100" w:afterAutospacing="1" w:line="240" w:lineRule="auto"/>
        <w:jc w:val="both"/>
        <w:rPr>
          <w:rFonts w:ascii="Times New Roman" w:eastAsia="Times New Roman" w:hAnsi="Times New Roman" w:cs="Times New Roman"/>
          <w:sz w:val="24"/>
          <w:szCs w:val="24"/>
          <w:lang w:eastAsia="pt-BR"/>
        </w:rPr>
      </w:pPr>
      <w:r w:rsidRPr="0035190F">
        <w:rPr>
          <w:rFonts w:ascii="Arial" w:eastAsia="Times New Roman" w:hAnsi="Arial" w:cs="Arial"/>
          <w:sz w:val="20"/>
          <w:szCs w:val="20"/>
          <w:lang w:eastAsia="pt-BR"/>
        </w:rPr>
        <w:t xml:space="preserve">Prevê-se que o declínio do PIB seja particularmente pronunciado no segundo trimestre, em -13,5% em comparação ao trimestre fiscal anterior. Antecipando o segundo semestre do ano e 2021, o Espera-se que a economia </w:t>
      </w:r>
      <w:r w:rsidR="0035190F" w:rsidRPr="0035190F">
        <w:rPr>
          <w:rFonts w:ascii="Arial" w:eastAsia="Times New Roman" w:hAnsi="Arial" w:cs="Arial"/>
          <w:sz w:val="20"/>
          <w:szCs w:val="20"/>
          <w:lang w:eastAsia="pt-BR"/>
        </w:rPr>
        <w:t>européia</w:t>
      </w:r>
      <w:r w:rsidRPr="0035190F">
        <w:rPr>
          <w:rFonts w:ascii="Arial" w:eastAsia="Times New Roman" w:hAnsi="Arial" w:cs="Arial"/>
          <w:sz w:val="20"/>
          <w:szCs w:val="20"/>
          <w:lang w:eastAsia="pt-BR"/>
        </w:rPr>
        <w:t xml:space="preserve"> recupere, mas com diferenças maiores e mais persistentes entre Estados-Membros do que o esperado na Primavera. </w:t>
      </w:r>
    </w:p>
    <w:p w:rsidR="00B75C56" w:rsidRPr="0035190F" w:rsidRDefault="00B75C56" w:rsidP="0035190F">
      <w:pPr>
        <w:spacing w:before="240" w:after="100" w:afterAutospacing="1" w:line="240" w:lineRule="auto"/>
        <w:jc w:val="both"/>
        <w:rPr>
          <w:rFonts w:ascii="Times New Roman" w:eastAsia="Times New Roman" w:hAnsi="Times New Roman" w:cs="Times New Roman"/>
          <w:sz w:val="24"/>
          <w:szCs w:val="24"/>
          <w:lang w:eastAsia="pt-BR"/>
        </w:rPr>
      </w:pPr>
      <w:r w:rsidRPr="0035190F">
        <w:rPr>
          <w:rFonts w:ascii="Arial" w:eastAsia="Times New Roman" w:hAnsi="Arial" w:cs="Arial"/>
          <w:sz w:val="20"/>
          <w:szCs w:val="20"/>
          <w:lang w:eastAsia="pt-BR"/>
        </w:rPr>
        <w:lastRenderedPageBreak/>
        <w:t>Os sinais de que a atividade econômica já passou o limite foi visível em maio, à medida que a eliminação progressiva das restrições mais rígidas. Em junho, os indicadores sugerem que a</w:t>
      </w:r>
      <w:r w:rsidRPr="00B75C56">
        <w:rPr>
          <w:rFonts w:ascii="Arial" w:eastAsia="Times New Roman" w:hAnsi="Arial" w:cs="Arial"/>
          <w:color w:val="FF0000"/>
          <w:sz w:val="20"/>
          <w:szCs w:val="20"/>
          <w:lang w:eastAsia="pt-BR"/>
        </w:rPr>
        <w:t xml:space="preserve"> </w:t>
      </w:r>
      <w:r w:rsidRPr="0035190F">
        <w:rPr>
          <w:rFonts w:ascii="Arial" w:eastAsia="Times New Roman" w:hAnsi="Arial" w:cs="Arial"/>
          <w:sz w:val="20"/>
          <w:szCs w:val="20"/>
          <w:lang w:eastAsia="pt-BR"/>
        </w:rPr>
        <w:t>economia ganhou um novo ímpeto, proporcionando um ponto de partida favorável para uma nova retoma no terceiro trimestre.</w:t>
      </w:r>
    </w:p>
    <w:p w:rsidR="00B75C56" w:rsidRPr="00291FE5" w:rsidRDefault="00B75C56" w:rsidP="00291FE5">
      <w:pPr>
        <w:spacing w:before="240" w:after="100" w:afterAutospacing="1" w:line="240" w:lineRule="auto"/>
        <w:jc w:val="both"/>
        <w:rPr>
          <w:rFonts w:ascii="Times New Roman" w:eastAsia="Times New Roman" w:hAnsi="Times New Roman" w:cs="Times New Roman"/>
          <w:sz w:val="24"/>
          <w:szCs w:val="24"/>
          <w:lang w:eastAsia="pt-BR"/>
        </w:rPr>
      </w:pPr>
      <w:r w:rsidRPr="00291FE5">
        <w:rPr>
          <w:rFonts w:ascii="Arial" w:eastAsia="Times New Roman" w:hAnsi="Arial" w:cs="Arial"/>
          <w:sz w:val="20"/>
          <w:szCs w:val="20"/>
          <w:lang w:eastAsia="pt-BR"/>
        </w:rPr>
        <w:t xml:space="preserve">Dada a incerteza em torno das projeções econômicas, a previsão continua a basear-se em uma série de pressupostos importantes. O mais importante, pressupõe-se que as medidas de contenção na EU será gradualmente levantada e nenhuma segunda onda importante de infecções irá desencadear uma nova </w:t>
      </w:r>
      <w:r w:rsidR="00291FE5" w:rsidRPr="00291FE5">
        <w:rPr>
          <w:rFonts w:ascii="Arial" w:eastAsia="Times New Roman" w:hAnsi="Arial" w:cs="Arial"/>
          <w:sz w:val="20"/>
          <w:szCs w:val="20"/>
          <w:lang w:eastAsia="pt-BR"/>
        </w:rPr>
        <w:t>seqüência</w:t>
      </w:r>
      <w:r w:rsidRPr="00291FE5">
        <w:rPr>
          <w:rFonts w:ascii="Arial" w:eastAsia="Times New Roman" w:hAnsi="Arial" w:cs="Arial"/>
          <w:sz w:val="20"/>
          <w:szCs w:val="20"/>
          <w:lang w:eastAsia="pt-BR"/>
        </w:rPr>
        <w:t xml:space="preserve"> de restrições. </w:t>
      </w:r>
    </w:p>
    <w:p w:rsidR="00B75C56" w:rsidRPr="00291FE5" w:rsidRDefault="00B75C56" w:rsidP="00291FE5">
      <w:pPr>
        <w:spacing w:before="240" w:after="100" w:afterAutospacing="1" w:line="240" w:lineRule="auto"/>
        <w:jc w:val="both"/>
        <w:rPr>
          <w:rFonts w:ascii="Times New Roman" w:eastAsia="Times New Roman" w:hAnsi="Times New Roman" w:cs="Times New Roman"/>
          <w:sz w:val="24"/>
          <w:szCs w:val="24"/>
          <w:lang w:eastAsia="pt-BR"/>
        </w:rPr>
      </w:pPr>
      <w:r w:rsidRPr="00291FE5">
        <w:rPr>
          <w:rFonts w:ascii="Arial" w:eastAsia="Times New Roman" w:hAnsi="Arial" w:cs="Arial"/>
          <w:sz w:val="20"/>
          <w:szCs w:val="20"/>
          <w:lang w:eastAsia="pt-BR"/>
        </w:rPr>
        <w:t xml:space="preserve">Contudo, as medidas contínuas de distanciamento social são tidas em conta com repercussões em setores que requerem contato interpessoal. As medidas de política fiscal e monetária anunciadas de forma pontual até </w:t>
      </w:r>
      <w:proofErr w:type="gramStart"/>
      <w:r w:rsidRPr="00291FE5">
        <w:rPr>
          <w:rFonts w:ascii="Arial" w:eastAsia="Times New Roman" w:hAnsi="Arial" w:cs="Arial"/>
          <w:sz w:val="20"/>
          <w:szCs w:val="20"/>
          <w:lang w:eastAsia="pt-BR"/>
        </w:rPr>
        <w:t>à</w:t>
      </w:r>
      <w:proofErr w:type="gramEnd"/>
      <w:r w:rsidRPr="00291FE5">
        <w:rPr>
          <w:rFonts w:ascii="Arial" w:eastAsia="Times New Roman" w:hAnsi="Arial" w:cs="Arial"/>
          <w:sz w:val="20"/>
          <w:szCs w:val="20"/>
          <w:lang w:eastAsia="pt-BR"/>
        </w:rPr>
        <w:t xml:space="preserve"> data limite deverão apoiar a recuperação e evitar falências em grande escala. Ainda assim, é provável que ocorram insolvências e perdas de emprego em todos os Estados Membros.</w:t>
      </w:r>
    </w:p>
    <w:p w:rsidR="00B75C56" w:rsidRPr="005F112F" w:rsidRDefault="00B75C56" w:rsidP="00B75C56">
      <w:pPr>
        <w:spacing w:before="240" w:after="100" w:afterAutospacing="1" w:line="240" w:lineRule="auto"/>
        <w:rPr>
          <w:rFonts w:ascii="Times New Roman" w:eastAsia="Times New Roman" w:hAnsi="Times New Roman" w:cs="Times New Roman"/>
          <w:sz w:val="24"/>
          <w:szCs w:val="24"/>
          <w:lang w:eastAsia="pt-BR"/>
        </w:rPr>
      </w:pPr>
      <w:r w:rsidRPr="005F112F">
        <w:rPr>
          <w:rFonts w:ascii="Arial" w:eastAsia="Times New Roman" w:hAnsi="Arial" w:cs="Arial"/>
          <w:b/>
          <w:bCs/>
          <w:sz w:val="20"/>
          <w:szCs w:val="20"/>
          <w:lang w:eastAsia="pt-BR"/>
        </w:rPr>
        <w:t>MERCADO DE RENDA FIXA E RENDA VARIÁVEL</w:t>
      </w:r>
    </w:p>
    <w:p w:rsidR="00B75C56" w:rsidRPr="005F112F" w:rsidRDefault="00B75C56" w:rsidP="005F112F">
      <w:pPr>
        <w:spacing w:before="240" w:after="100" w:afterAutospacing="1" w:line="240" w:lineRule="auto"/>
        <w:jc w:val="both"/>
        <w:rPr>
          <w:rFonts w:ascii="Times New Roman" w:eastAsia="Times New Roman" w:hAnsi="Times New Roman" w:cs="Times New Roman"/>
          <w:sz w:val="24"/>
          <w:szCs w:val="24"/>
          <w:lang w:eastAsia="pt-BR"/>
        </w:rPr>
      </w:pPr>
      <w:r w:rsidRPr="005F112F">
        <w:rPr>
          <w:rFonts w:ascii="Arial" w:eastAsia="Times New Roman" w:hAnsi="Arial" w:cs="Arial"/>
          <w:sz w:val="20"/>
          <w:szCs w:val="20"/>
          <w:lang w:eastAsia="pt-BR"/>
        </w:rPr>
        <w:t xml:space="preserve">No mercado internacional de renda fixa, a volatilidade nos preços manteve-se próxima ao normal após o FED manter o juro próximo de zero e anunciar que assim deverá permanecer por um tempo suficientemente prolongado enquanto a economia doméstica não se consolidar no terreno do crescimento. </w:t>
      </w:r>
    </w:p>
    <w:p w:rsidR="00B75C56" w:rsidRPr="005F112F" w:rsidRDefault="00B75C56" w:rsidP="00B75C56">
      <w:pPr>
        <w:spacing w:before="240" w:after="100" w:afterAutospacing="1" w:line="240" w:lineRule="auto"/>
        <w:rPr>
          <w:rFonts w:ascii="Times New Roman" w:eastAsia="Times New Roman" w:hAnsi="Times New Roman" w:cs="Times New Roman"/>
          <w:sz w:val="24"/>
          <w:szCs w:val="24"/>
          <w:lang w:eastAsia="pt-BR"/>
        </w:rPr>
      </w:pPr>
      <w:r w:rsidRPr="005F112F">
        <w:rPr>
          <w:rFonts w:ascii="Arial" w:eastAsia="Times New Roman" w:hAnsi="Arial" w:cs="Arial"/>
          <w:sz w:val="20"/>
          <w:szCs w:val="20"/>
          <w:lang w:eastAsia="pt-BR"/>
        </w:rPr>
        <w:t xml:space="preserve">Os títulos do tesouro americano de 10 anos, obteve rendimento de </w:t>
      </w:r>
      <w:proofErr w:type="gramStart"/>
      <w:r w:rsidRPr="005F112F">
        <w:rPr>
          <w:rFonts w:ascii="Arial" w:eastAsia="Times New Roman" w:hAnsi="Arial" w:cs="Arial"/>
          <w:sz w:val="20"/>
          <w:szCs w:val="20"/>
          <w:lang w:eastAsia="pt-BR"/>
        </w:rPr>
        <w:t>0,</w:t>
      </w:r>
      <w:proofErr w:type="gramEnd"/>
      <w:r w:rsidRPr="005F112F">
        <w:rPr>
          <w:rFonts w:ascii="Arial" w:eastAsia="Times New Roman" w:hAnsi="Arial" w:cs="Arial"/>
          <w:sz w:val="20"/>
          <w:szCs w:val="20"/>
          <w:lang w:eastAsia="pt-BR"/>
        </w:rPr>
        <w:t xml:space="preserve">568% ao ano no final junho. </w:t>
      </w:r>
    </w:p>
    <w:p w:rsidR="00B75C56" w:rsidRPr="005F112F" w:rsidRDefault="00B75C56" w:rsidP="005F112F">
      <w:pPr>
        <w:spacing w:before="240" w:after="100" w:afterAutospacing="1" w:line="240" w:lineRule="auto"/>
        <w:jc w:val="both"/>
        <w:rPr>
          <w:rFonts w:ascii="Times New Roman" w:eastAsia="Times New Roman" w:hAnsi="Times New Roman" w:cs="Times New Roman"/>
          <w:sz w:val="24"/>
          <w:szCs w:val="24"/>
          <w:lang w:eastAsia="pt-BR"/>
        </w:rPr>
      </w:pPr>
      <w:r w:rsidRPr="005F112F">
        <w:rPr>
          <w:rFonts w:ascii="Arial" w:eastAsia="Times New Roman" w:hAnsi="Arial" w:cs="Arial"/>
          <w:sz w:val="20"/>
          <w:szCs w:val="20"/>
          <w:lang w:eastAsia="pt-BR"/>
        </w:rPr>
        <w:t xml:space="preserve">Já o rendimento dos títulos do governo japonês de 30 anos passou para </w:t>
      </w:r>
      <w:proofErr w:type="gramStart"/>
      <w:r w:rsidRPr="005F112F">
        <w:rPr>
          <w:rFonts w:ascii="Arial" w:eastAsia="Times New Roman" w:hAnsi="Arial" w:cs="Arial"/>
          <w:sz w:val="20"/>
          <w:szCs w:val="20"/>
          <w:lang w:eastAsia="pt-BR"/>
        </w:rPr>
        <w:t>0,</w:t>
      </w:r>
      <w:proofErr w:type="gramEnd"/>
      <w:r w:rsidRPr="005F112F">
        <w:rPr>
          <w:rFonts w:ascii="Arial" w:eastAsia="Times New Roman" w:hAnsi="Arial" w:cs="Arial"/>
          <w:sz w:val="20"/>
          <w:szCs w:val="20"/>
          <w:lang w:eastAsia="pt-BR"/>
        </w:rPr>
        <w:t xml:space="preserve">525% ao ano no fechamento de junho, uma queda de 0,077 pontos em relação a maio. Para as bolsas de valores internacionais o movimento foi de valorizações diante da maior clareza sobre a retomada do crescimento da economia global. </w:t>
      </w:r>
    </w:p>
    <w:p w:rsidR="00B75C56" w:rsidRPr="005F112F" w:rsidRDefault="00B75C56" w:rsidP="005F112F">
      <w:pPr>
        <w:spacing w:before="240" w:after="100" w:afterAutospacing="1" w:line="240" w:lineRule="auto"/>
        <w:jc w:val="both"/>
        <w:rPr>
          <w:rFonts w:ascii="Times New Roman" w:eastAsia="Times New Roman" w:hAnsi="Times New Roman" w:cs="Times New Roman"/>
          <w:sz w:val="24"/>
          <w:szCs w:val="24"/>
          <w:lang w:eastAsia="pt-BR"/>
        </w:rPr>
      </w:pPr>
      <w:r w:rsidRPr="005F112F">
        <w:rPr>
          <w:rFonts w:ascii="Arial" w:eastAsia="Times New Roman" w:hAnsi="Arial" w:cs="Arial"/>
          <w:sz w:val="20"/>
          <w:szCs w:val="20"/>
          <w:lang w:eastAsia="pt-BR"/>
        </w:rPr>
        <w:t>Enquanto a bolsa alemã (</w:t>
      </w:r>
      <w:proofErr w:type="spellStart"/>
      <w:r w:rsidRPr="005F112F">
        <w:rPr>
          <w:rFonts w:ascii="Arial" w:eastAsia="Times New Roman" w:hAnsi="Arial" w:cs="Arial"/>
          <w:sz w:val="20"/>
          <w:lang w:eastAsia="pt-BR"/>
        </w:rPr>
        <w:t>Dax</w:t>
      </w:r>
      <w:proofErr w:type="spellEnd"/>
      <w:r w:rsidRPr="005F112F">
        <w:rPr>
          <w:rFonts w:ascii="Arial" w:eastAsia="Times New Roman" w:hAnsi="Arial" w:cs="Arial"/>
          <w:sz w:val="20"/>
          <w:szCs w:val="20"/>
          <w:lang w:eastAsia="pt-BR"/>
        </w:rPr>
        <w:t>) recuou 0,54 %, a inglesa (FTSE 100) caiu 1,54%, a do Japão (Nikkei 225) registrou queda de 2,82% e a americana (</w:t>
      </w:r>
      <w:proofErr w:type="spellStart"/>
      <w:r w:rsidRPr="005F112F">
        <w:rPr>
          <w:rFonts w:ascii="Arial" w:eastAsia="Times New Roman" w:hAnsi="Arial" w:cs="Arial"/>
          <w:sz w:val="20"/>
          <w:szCs w:val="20"/>
          <w:lang w:eastAsia="pt-BR"/>
        </w:rPr>
        <w:t>S&amp;P</w:t>
      </w:r>
      <w:proofErr w:type="spellEnd"/>
      <w:r w:rsidRPr="005F112F">
        <w:rPr>
          <w:rFonts w:ascii="Arial" w:eastAsia="Times New Roman" w:hAnsi="Arial" w:cs="Arial"/>
          <w:sz w:val="20"/>
          <w:szCs w:val="20"/>
          <w:lang w:eastAsia="pt-BR"/>
        </w:rPr>
        <w:t xml:space="preserve"> 500) valorizou 0,77 %. O petróleo referência Brent ficou em alta de 0,39% aos US$43,69 o barril negociado na bolsa Mercantil de Futuros de Londres, o petróleo WTI também operou em alta de 1,28% e com o barril negociado aos </w:t>
      </w:r>
      <w:proofErr w:type="gramStart"/>
      <w:r w:rsidRPr="005F112F">
        <w:rPr>
          <w:rFonts w:ascii="Arial" w:eastAsia="Times New Roman" w:hAnsi="Arial" w:cs="Arial"/>
          <w:sz w:val="20"/>
          <w:szCs w:val="20"/>
          <w:lang w:eastAsia="pt-BR"/>
        </w:rPr>
        <w:t>US$</w:t>
      </w:r>
      <w:r w:rsidR="005F112F" w:rsidRPr="005F112F">
        <w:rPr>
          <w:rFonts w:ascii="Arial" w:eastAsia="Times New Roman" w:hAnsi="Arial" w:cs="Arial"/>
          <w:sz w:val="20"/>
          <w:szCs w:val="20"/>
          <w:lang w:eastAsia="pt-BR"/>
        </w:rPr>
        <w:t xml:space="preserve"> </w:t>
      </w:r>
      <w:r w:rsidRPr="005F112F">
        <w:rPr>
          <w:rFonts w:ascii="Arial" w:eastAsia="Times New Roman" w:hAnsi="Arial" w:cs="Arial"/>
          <w:sz w:val="20"/>
          <w:szCs w:val="20"/>
          <w:lang w:eastAsia="pt-BR"/>
        </w:rPr>
        <w:t>40,43 na bolsa Mercantil de Futuros, Nova York</w:t>
      </w:r>
      <w:proofErr w:type="gramEnd"/>
      <w:r w:rsidRPr="005F112F">
        <w:rPr>
          <w:rFonts w:ascii="Arial" w:eastAsia="Times New Roman" w:hAnsi="Arial" w:cs="Arial"/>
          <w:sz w:val="20"/>
          <w:szCs w:val="20"/>
          <w:lang w:eastAsia="pt-BR"/>
        </w:rPr>
        <w:t xml:space="preserve">. </w:t>
      </w:r>
    </w:p>
    <w:p w:rsidR="00B75C56" w:rsidRPr="005F112F" w:rsidRDefault="00B75C56" w:rsidP="005F112F">
      <w:pPr>
        <w:spacing w:before="240" w:after="100" w:afterAutospacing="1" w:line="240" w:lineRule="auto"/>
        <w:jc w:val="both"/>
        <w:rPr>
          <w:rFonts w:ascii="Times New Roman" w:eastAsia="Times New Roman" w:hAnsi="Times New Roman" w:cs="Times New Roman"/>
          <w:sz w:val="24"/>
          <w:szCs w:val="24"/>
          <w:lang w:eastAsia="pt-BR"/>
        </w:rPr>
      </w:pPr>
      <w:r w:rsidRPr="005F112F">
        <w:rPr>
          <w:rFonts w:ascii="Arial" w:eastAsia="Times New Roman" w:hAnsi="Arial" w:cs="Arial"/>
          <w:sz w:val="20"/>
          <w:szCs w:val="20"/>
          <w:lang w:eastAsia="pt-BR"/>
        </w:rPr>
        <w:t xml:space="preserve">O preço do minério de ferro negociado no porto de </w:t>
      </w:r>
      <w:proofErr w:type="spellStart"/>
      <w:r w:rsidRPr="005F112F">
        <w:rPr>
          <w:rFonts w:ascii="Arial" w:eastAsia="Times New Roman" w:hAnsi="Arial" w:cs="Arial"/>
          <w:sz w:val="20"/>
          <w:lang w:eastAsia="pt-BR"/>
        </w:rPr>
        <w:t>Qingdao</w:t>
      </w:r>
      <w:proofErr w:type="spellEnd"/>
      <w:r w:rsidRPr="005F112F">
        <w:rPr>
          <w:rFonts w:ascii="Arial" w:eastAsia="Times New Roman" w:hAnsi="Arial" w:cs="Arial"/>
          <w:sz w:val="20"/>
          <w:szCs w:val="20"/>
          <w:lang w:eastAsia="pt-BR"/>
        </w:rPr>
        <w:t>, China, ficou estável a US$110,58 a tonelada seca. O avanço no preço do óleo ocorre após o acordo de corte na produção pela OPEP+, além de declínios acentuados na produção de outros produtores, liderados pelos EUA e Canadá, em resposta ao colapso na demanda sem precedentes.</w:t>
      </w:r>
    </w:p>
    <w:p w:rsidR="00B75C56" w:rsidRPr="00926067" w:rsidRDefault="00B75C56" w:rsidP="00B75C56">
      <w:pPr>
        <w:spacing w:before="240" w:after="100" w:afterAutospacing="1" w:line="240" w:lineRule="auto"/>
        <w:rPr>
          <w:rFonts w:ascii="Times New Roman" w:eastAsia="Times New Roman" w:hAnsi="Times New Roman" w:cs="Times New Roman"/>
          <w:sz w:val="24"/>
          <w:szCs w:val="24"/>
          <w:lang w:eastAsia="pt-BR"/>
        </w:rPr>
      </w:pPr>
      <w:r w:rsidRPr="00926067">
        <w:rPr>
          <w:rFonts w:ascii="Arial" w:eastAsia="Times New Roman" w:hAnsi="Arial" w:cs="Arial"/>
          <w:b/>
          <w:bCs/>
          <w:sz w:val="20"/>
          <w:szCs w:val="20"/>
          <w:lang w:eastAsia="pt-BR"/>
        </w:rPr>
        <w:t>4.2</w:t>
      </w:r>
      <w:r w:rsidRPr="00926067">
        <w:rPr>
          <w:rFonts w:ascii="Arial" w:eastAsia="Times New Roman" w:hAnsi="Arial" w:cs="Arial"/>
          <w:b/>
          <w:bCs/>
          <w:sz w:val="20"/>
          <w:szCs w:val="20"/>
          <w:lang w:eastAsia="pt-BR"/>
        </w:rPr>
        <w:tab/>
        <w:t>NACIONAL - 1° SEMESTRE DE 2020</w:t>
      </w:r>
    </w:p>
    <w:p w:rsidR="00B75C56" w:rsidRPr="00926067" w:rsidRDefault="00B75C56" w:rsidP="00B75C56">
      <w:pPr>
        <w:spacing w:before="240" w:after="100" w:afterAutospacing="1" w:line="240" w:lineRule="auto"/>
        <w:rPr>
          <w:rFonts w:ascii="Times New Roman" w:eastAsia="Times New Roman" w:hAnsi="Times New Roman" w:cs="Times New Roman"/>
          <w:sz w:val="24"/>
          <w:szCs w:val="24"/>
          <w:lang w:eastAsia="pt-BR"/>
        </w:rPr>
      </w:pPr>
      <w:r w:rsidRPr="00926067">
        <w:rPr>
          <w:rFonts w:ascii="Arial" w:eastAsia="Times New Roman" w:hAnsi="Arial" w:cs="Arial"/>
          <w:b/>
          <w:bCs/>
          <w:sz w:val="20"/>
          <w:szCs w:val="20"/>
          <w:lang w:eastAsia="pt-BR"/>
        </w:rPr>
        <w:t>ATIVIDADE, EMPREGO E RENDA</w:t>
      </w:r>
    </w:p>
    <w:p w:rsidR="00B75C56" w:rsidRPr="00926067" w:rsidRDefault="00B75C56" w:rsidP="00926067">
      <w:pPr>
        <w:spacing w:before="240" w:after="100" w:afterAutospacing="1" w:line="240" w:lineRule="auto"/>
        <w:jc w:val="both"/>
        <w:rPr>
          <w:rFonts w:ascii="Times New Roman" w:eastAsia="Times New Roman" w:hAnsi="Times New Roman" w:cs="Times New Roman"/>
          <w:sz w:val="24"/>
          <w:szCs w:val="24"/>
          <w:lang w:eastAsia="pt-BR"/>
        </w:rPr>
      </w:pPr>
      <w:r w:rsidRPr="00926067">
        <w:rPr>
          <w:rFonts w:ascii="Arial" w:eastAsia="Times New Roman" w:hAnsi="Arial" w:cs="Arial"/>
          <w:sz w:val="20"/>
          <w:szCs w:val="20"/>
          <w:lang w:eastAsia="pt-BR"/>
        </w:rPr>
        <w:t xml:space="preserve">O IBC-Br (Índice de Atividade Econômica do Banco Central), considerado uma previa informal do PIB (Produto Interno Bruto), encolheu 6,28% no primeiro semestre, impactado pelas medidas de combate à pandemia de </w:t>
      </w:r>
      <w:proofErr w:type="spellStart"/>
      <w:r w:rsidRPr="00926067">
        <w:rPr>
          <w:rFonts w:ascii="Arial" w:eastAsia="Times New Roman" w:hAnsi="Arial" w:cs="Arial"/>
          <w:sz w:val="20"/>
          <w:szCs w:val="20"/>
          <w:lang w:eastAsia="pt-BR"/>
        </w:rPr>
        <w:t>corona-vírus</w:t>
      </w:r>
      <w:proofErr w:type="spellEnd"/>
      <w:r w:rsidRPr="00926067">
        <w:rPr>
          <w:rFonts w:ascii="Arial" w:eastAsia="Times New Roman" w:hAnsi="Arial" w:cs="Arial"/>
          <w:sz w:val="20"/>
          <w:szCs w:val="20"/>
          <w:lang w:eastAsia="pt-BR"/>
        </w:rPr>
        <w:t>, que reduziram a atividade de diversos setores da economia. Considerando apenas o segundo trimestre, a queda foi de 10,94%, em relação ao trimestre anterior, segundo dados divulgados hoje pelo Banco Central. Na comparação com o segundo trimestre de 2019, o recuo foi de 12,03%.</w:t>
      </w:r>
    </w:p>
    <w:p w:rsidR="00B75C56" w:rsidRPr="00926067" w:rsidRDefault="00B75C56" w:rsidP="00926067">
      <w:pPr>
        <w:spacing w:before="240" w:after="100" w:afterAutospacing="1" w:line="240" w:lineRule="auto"/>
        <w:jc w:val="both"/>
        <w:rPr>
          <w:rFonts w:ascii="Times New Roman" w:eastAsia="Times New Roman" w:hAnsi="Times New Roman" w:cs="Times New Roman"/>
          <w:sz w:val="24"/>
          <w:szCs w:val="24"/>
          <w:lang w:eastAsia="pt-BR"/>
        </w:rPr>
      </w:pPr>
      <w:r w:rsidRPr="00926067">
        <w:rPr>
          <w:rFonts w:ascii="Arial" w:eastAsia="Times New Roman" w:hAnsi="Arial" w:cs="Arial"/>
          <w:sz w:val="20"/>
          <w:szCs w:val="20"/>
          <w:lang w:eastAsia="pt-BR"/>
        </w:rPr>
        <w:t xml:space="preserve">O Brasil encerrou o segundo trimestre com a maior taxa de desemprego em três anos e redução recorde no número de pessoas ocupadas, como </w:t>
      </w:r>
      <w:r w:rsidR="00926067" w:rsidRPr="00926067">
        <w:rPr>
          <w:rFonts w:ascii="Arial" w:eastAsia="Times New Roman" w:hAnsi="Arial" w:cs="Arial"/>
          <w:sz w:val="20"/>
          <w:szCs w:val="20"/>
          <w:lang w:eastAsia="pt-BR"/>
        </w:rPr>
        <w:t>conseqüência</w:t>
      </w:r>
      <w:r w:rsidRPr="00926067">
        <w:rPr>
          <w:rFonts w:ascii="Arial" w:eastAsia="Times New Roman" w:hAnsi="Arial" w:cs="Arial"/>
          <w:sz w:val="20"/>
          <w:szCs w:val="20"/>
          <w:lang w:eastAsia="pt-BR"/>
        </w:rPr>
        <w:t xml:space="preserve"> das medidas de contenção da pandemia de </w:t>
      </w:r>
      <w:proofErr w:type="spellStart"/>
      <w:r w:rsidRPr="00926067">
        <w:rPr>
          <w:rFonts w:ascii="Arial" w:eastAsia="Times New Roman" w:hAnsi="Arial" w:cs="Arial"/>
          <w:sz w:val="20"/>
          <w:szCs w:val="20"/>
          <w:lang w:eastAsia="pt-BR"/>
        </w:rPr>
        <w:t>corona-vírus</w:t>
      </w:r>
      <w:proofErr w:type="spellEnd"/>
      <w:r w:rsidRPr="00926067">
        <w:rPr>
          <w:rFonts w:ascii="Arial" w:eastAsia="Times New Roman" w:hAnsi="Arial" w:cs="Arial"/>
          <w:sz w:val="20"/>
          <w:szCs w:val="20"/>
          <w:lang w:eastAsia="pt-BR"/>
        </w:rPr>
        <w:t>, que deixou 12,8 milhões de desempregados no período.</w:t>
      </w:r>
    </w:p>
    <w:p w:rsidR="00B75C56" w:rsidRPr="00926067" w:rsidRDefault="00B75C56" w:rsidP="00926067">
      <w:pPr>
        <w:spacing w:before="240" w:after="100" w:afterAutospacing="1" w:line="240" w:lineRule="auto"/>
        <w:jc w:val="both"/>
        <w:rPr>
          <w:rFonts w:ascii="Times New Roman" w:eastAsia="Times New Roman" w:hAnsi="Times New Roman" w:cs="Times New Roman"/>
          <w:sz w:val="24"/>
          <w:szCs w:val="24"/>
          <w:lang w:eastAsia="pt-BR"/>
        </w:rPr>
      </w:pPr>
      <w:r w:rsidRPr="00926067">
        <w:rPr>
          <w:rFonts w:ascii="Arial" w:eastAsia="Times New Roman" w:hAnsi="Arial" w:cs="Arial"/>
          <w:sz w:val="20"/>
          <w:szCs w:val="20"/>
          <w:lang w:eastAsia="pt-BR"/>
        </w:rPr>
        <w:lastRenderedPageBreak/>
        <w:t xml:space="preserve">Entre abril e junho, a taxa de desemprego chegou a 13,3%, de 12,2% no primeiro </w:t>
      </w:r>
      <w:r w:rsidR="00926067" w:rsidRPr="00926067">
        <w:rPr>
          <w:rFonts w:ascii="Arial" w:eastAsia="Times New Roman" w:hAnsi="Arial" w:cs="Arial"/>
          <w:sz w:val="20"/>
          <w:szCs w:val="20"/>
          <w:lang w:eastAsia="pt-BR"/>
        </w:rPr>
        <w:t xml:space="preserve">trimestre. </w:t>
      </w:r>
      <w:proofErr w:type="gramStart"/>
      <w:r w:rsidR="00926067" w:rsidRPr="00926067">
        <w:rPr>
          <w:rFonts w:ascii="Arial" w:eastAsia="Times New Roman" w:hAnsi="Arial" w:cs="Arial"/>
          <w:sz w:val="20"/>
          <w:szCs w:val="20"/>
          <w:lang w:eastAsia="pt-BR"/>
        </w:rPr>
        <w:t xml:space="preserve">O resultado da </w:t>
      </w:r>
      <w:proofErr w:type="spellStart"/>
      <w:r w:rsidR="00926067" w:rsidRPr="00926067">
        <w:rPr>
          <w:rFonts w:ascii="Arial" w:eastAsia="Times New Roman" w:hAnsi="Arial" w:cs="Arial"/>
          <w:sz w:val="20"/>
          <w:szCs w:val="20"/>
          <w:lang w:eastAsia="pt-BR"/>
        </w:rPr>
        <w:t>Pnad</w:t>
      </w:r>
      <w:proofErr w:type="spellEnd"/>
      <w:r w:rsidR="00926067" w:rsidRPr="00926067">
        <w:rPr>
          <w:rFonts w:ascii="Arial" w:eastAsia="Times New Roman" w:hAnsi="Arial" w:cs="Arial"/>
          <w:sz w:val="20"/>
          <w:szCs w:val="20"/>
          <w:lang w:eastAsia="pt-BR"/>
        </w:rPr>
        <w:t xml:space="preserve"> c</w:t>
      </w:r>
      <w:r w:rsidRPr="00926067">
        <w:rPr>
          <w:rFonts w:ascii="Arial" w:eastAsia="Times New Roman" w:hAnsi="Arial" w:cs="Arial"/>
          <w:sz w:val="20"/>
          <w:szCs w:val="20"/>
          <w:lang w:eastAsia="pt-BR"/>
        </w:rPr>
        <w:t>ontínua divulgada nesta quarta-feira pelo IBGE Instituto Brasileiro de Geografia e Estatística igualou</w:t>
      </w:r>
      <w:proofErr w:type="gramEnd"/>
      <w:r w:rsidRPr="00926067">
        <w:rPr>
          <w:rFonts w:ascii="Arial" w:eastAsia="Times New Roman" w:hAnsi="Arial" w:cs="Arial"/>
          <w:sz w:val="20"/>
          <w:szCs w:val="20"/>
          <w:lang w:eastAsia="pt-BR"/>
        </w:rPr>
        <w:t xml:space="preserve"> a taxa do trimestre encerrado em maio de 2017 e mostrou ainda forte piora em relação aos 12,0</w:t>
      </w:r>
      <w:r w:rsidR="00926067">
        <w:rPr>
          <w:rFonts w:ascii="Arial" w:eastAsia="Times New Roman" w:hAnsi="Arial" w:cs="Arial"/>
          <w:sz w:val="20"/>
          <w:szCs w:val="20"/>
          <w:lang w:eastAsia="pt-BR"/>
        </w:rPr>
        <w:t>0</w:t>
      </w:r>
      <w:r w:rsidRPr="00926067">
        <w:rPr>
          <w:rFonts w:ascii="Arial" w:eastAsia="Times New Roman" w:hAnsi="Arial" w:cs="Arial"/>
          <w:sz w:val="20"/>
          <w:szCs w:val="20"/>
          <w:lang w:eastAsia="pt-BR"/>
        </w:rPr>
        <w:t>% de desemprego no segundo trimestre de 2019.</w:t>
      </w:r>
    </w:p>
    <w:p w:rsidR="00B75C56" w:rsidRPr="00926067" w:rsidRDefault="00B75C56" w:rsidP="00926067">
      <w:pPr>
        <w:spacing w:before="240" w:after="100" w:afterAutospacing="1" w:line="240" w:lineRule="auto"/>
        <w:jc w:val="both"/>
        <w:rPr>
          <w:rFonts w:ascii="Times New Roman" w:eastAsia="Times New Roman" w:hAnsi="Times New Roman" w:cs="Times New Roman"/>
          <w:sz w:val="24"/>
          <w:szCs w:val="24"/>
          <w:lang w:eastAsia="pt-BR"/>
        </w:rPr>
      </w:pPr>
      <w:r w:rsidRPr="00926067">
        <w:rPr>
          <w:rFonts w:ascii="Arial" w:eastAsia="Times New Roman" w:hAnsi="Arial" w:cs="Arial"/>
          <w:sz w:val="20"/>
          <w:szCs w:val="20"/>
          <w:lang w:eastAsia="pt-BR"/>
        </w:rPr>
        <w:t xml:space="preserve">No 1º semestre de 2020, o PIB caiu 5,9% em relação </w:t>
      </w:r>
      <w:r w:rsidR="00926067" w:rsidRPr="00926067">
        <w:rPr>
          <w:rFonts w:ascii="Arial" w:eastAsia="Times New Roman" w:hAnsi="Arial" w:cs="Arial"/>
          <w:sz w:val="20"/>
          <w:szCs w:val="20"/>
          <w:lang w:eastAsia="pt-BR"/>
        </w:rPr>
        <w:t>à</w:t>
      </w:r>
      <w:r w:rsidRPr="00926067">
        <w:rPr>
          <w:rFonts w:ascii="Arial" w:eastAsia="Times New Roman" w:hAnsi="Arial" w:cs="Arial"/>
          <w:sz w:val="20"/>
          <w:szCs w:val="20"/>
          <w:lang w:eastAsia="pt-BR"/>
        </w:rPr>
        <w:t xml:space="preserve"> igual período de 2019 e </w:t>
      </w:r>
      <w:proofErr w:type="gramStart"/>
      <w:r w:rsidRPr="00926067">
        <w:rPr>
          <w:rFonts w:ascii="Arial" w:eastAsia="Times New Roman" w:hAnsi="Arial" w:cs="Arial"/>
          <w:sz w:val="20"/>
          <w:szCs w:val="20"/>
          <w:lang w:eastAsia="pt-BR"/>
        </w:rPr>
        <w:t>caiu</w:t>
      </w:r>
      <w:proofErr w:type="gramEnd"/>
      <w:r w:rsidRPr="00926067">
        <w:rPr>
          <w:rFonts w:ascii="Arial" w:eastAsia="Times New Roman" w:hAnsi="Arial" w:cs="Arial"/>
          <w:sz w:val="20"/>
          <w:szCs w:val="20"/>
          <w:lang w:eastAsia="pt-BR"/>
        </w:rPr>
        <w:t xml:space="preserve"> 9,7% no segundo trimestre de 2020 (comparado ao primeiro trimestre de 2020), na série com ajuste sazonal. Em relação </w:t>
      </w:r>
      <w:r w:rsidR="00926067" w:rsidRPr="00926067">
        <w:rPr>
          <w:rFonts w:ascii="Arial" w:eastAsia="Times New Roman" w:hAnsi="Arial" w:cs="Arial"/>
          <w:sz w:val="20"/>
          <w:szCs w:val="20"/>
          <w:lang w:eastAsia="pt-BR"/>
        </w:rPr>
        <w:t>à</w:t>
      </w:r>
      <w:r w:rsidRPr="00926067">
        <w:rPr>
          <w:rFonts w:ascii="Arial" w:eastAsia="Times New Roman" w:hAnsi="Arial" w:cs="Arial"/>
          <w:sz w:val="20"/>
          <w:szCs w:val="20"/>
          <w:lang w:eastAsia="pt-BR"/>
        </w:rPr>
        <w:t xml:space="preserve"> igual período de 2019, o PIB caiu 11,4%. </w:t>
      </w:r>
    </w:p>
    <w:p w:rsidR="00B75C56" w:rsidRPr="00926067" w:rsidRDefault="00B75C56" w:rsidP="00926067">
      <w:pPr>
        <w:spacing w:before="240" w:after="100" w:afterAutospacing="1" w:line="240" w:lineRule="auto"/>
        <w:jc w:val="both"/>
        <w:rPr>
          <w:rFonts w:ascii="Times New Roman" w:eastAsia="Times New Roman" w:hAnsi="Times New Roman" w:cs="Times New Roman"/>
          <w:sz w:val="24"/>
          <w:szCs w:val="24"/>
          <w:lang w:eastAsia="pt-BR"/>
        </w:rPr>
      </w:pPr>
      <w:r w:rsidRPr="00926067">
        <w:rPr>
          <w:rFonts w:ascii="Arial" w:eastAsia="Times New Roman" w:hAnsi="Arial" w:cs="Arial"/>
          <w:sz w:val="20"/>
          <w:szCs w:val="20"/>
          <w:lang w:eastAsia="pt-BR"/>
        </w:rPr>
        <w:t>A taxa de investimento no segundo trimestre de 2020 foi de 15,0% do PIB, ficando abaixo da observada no mesmo período de 2019 (15,3%).</w:t>
      </w:r>
    </w:p>
    <w:p w:rsidR="005E434E" w:rsidRDefault="005E434E" w:rsidP="00E75EB1">
      <w:pPr>
        <w:spacing w:before="240" w:after="100" w:afterAutospacing="1" w:line="240" w:lineRule="auto"/>
        <w:jc w:val="both"/>
        <w:rPr>
          <w:rFonts w:ascii="Arial" w:eastAsia="Times New Roman" w:hAnsi="Arial" w:cs="Arial"/>
          <w:b/>
          <w:bCs/>
          <w:sz w:val="20"/>
          <w:szCs w:val="20"/>
          <w:lang w:eastAsia="pt-BR"/>
        </w:rPr>
      </w:pPr>
    </w:p>
    <w:p w:rsidR="00B75C56" w:rsidRPr="00E75EB1" w:rsidRDefault="00E75EB1" w:rsidP="00E75EB1">
      <w:pPr>
        <w:spacing w:before="240" w:after="100" w:afterAutospacing="1" w:line="240" w:lineRule="auto"/>
        <w:jc w:val="both"/>
        <w:rPr>
          <w:rFonts w:ascii="Times New Roman" w:eastAsia="Times New Roman" w:hAnsi="Times New Roman" w:cs="Times New Roman"/>
          <w:sz w:val="24"/>
          <w:szCs w:val="24"/>
          <w:lang w:eastAsia="pt-BR"/>
        </w:rPr>
      </w:pPr>
      <w:r w:rsidRPr="00E75EB1">
        <w:rPr>
          <w:rFonts w:ascii="Arial" w:eastAsia="Times New Roman" w:hAnsi="Arial" w:cs="Arial"/>
          <w:b/>
          <w:bCs/>
          <w:sz w:val="20"/>
          <w:szCs w:val="20"/>
          <w:lang w:eastAsia="pt-BR"/>
        </w:rPr>
        <w:t>SETOR PÚ</w:t>
      </w:r>
      <w:r w:rsidR="00B75C56" w:rsidRPr="00E75EB1">
        <w:rPr>
          <w:rFonts w:ascii="Arial" w:eastAsia="Times New Roman" w:hAnsi="Arial" w:cs="Arial"/>
          <w:b/>
          <w:bCs/>
          <w:sz w:val="20"/>
          <w:szCs w:val="20"/>
          <w:lang w:eastAsia="pt-BR"/>
        </w:rPr>
        <w:t>BLICO</w:t>
      </w:r>
    </w:p>
    <w:p w:rsidR="00B75C56" w:rsidRPr="00E75EB1" w:rsidRDefault="00B75C56" w:rsidP="00E75EB1">
      <w:pPr>
        <w:spacing w:before="240" w:after="100" w:afterAutospacing="1" w:line="240" w:lineRule="auto"/>
        <w:jc w:val="both"/>
        <w:rPr>
          <w:rFonts w:ascii="Times New Roman" w:eastAsia="Times New Roman" w:hAnsi="Times New Roman" w:cs="Times New Roman"/>
          <w:sz w:val="24"/>
          <w:szCs w:val="24"/>
          <w:lang w:eastAsia="pt-BR"/>
        </w:rPr>
      </w:pPr>
      <w:r w:rsidRPr="00E75EB1">
        <w:rPr>
          <w:rFonts w:ascii="Arial" w:eastAsia="Times New Roman" w:hAnsi="Arial" w:cs="Arial"/>
          <w:sz w:val="20"/>
          <w:szCs w:val="20"/>
          <w:lang w:eastAsia="pt-BR"/>
        </w:rPr>
        <w:t xml:space="preserve">O governo central, responsável por reunir as contas do Tesouro Nacional, Previdência Social e Banco Central, registrou déficit primário de R$ </w:t>
      </w:r>
      <w:proofErr w:type="gramStart"/>
      <w:r w:rsidRPr="00E75EB1">
        <w:rPr>
          <w:rFonts w:ascii="Arial" w:eastAsia="Times New Roman" w:hAnsi="Arial" w:cs="Arial"/>
          <w:sz w:val="20"/>
          <w:szCs w:val="20"/>
          <w:lang w:eastAsia="pt-BR"/>
        </w:rPr>
        <w:t>417,</w:t>
      </w:r>
      <w:proofErr w:type="gramEnd"/>
      <w:r w:rsidRPr="00E75EB1">
        <w:rPr>
          <w:rFonts w:ascii="Arial" w:eastAsia="Times New Roman" w:hAnsi="Arial" w:cs="Arial"/>
          <w:sz w:val="20"/>
          <w:szCs w:val="20"/>
          <w:lang w:eastAsia="pt-BR"/>
        </w:rPr>
        <w:t xml:space="preserve">217 bilhões no primeiro semestre de 2020, o pior resultado em mais de 20 anos. Apenas em junho, o rombo foi de R$ </w:t>
      </w:r>
      <w:proofErr w:type="gramStart"/>
      <w:r w:rsidRPr="00E75EB1">
        <w:rPr>
          <w:rFonts w:ascii="Arial" w:eastAsia="Times New Roman" w:hAnsi="Arial" w:cs="Arial"/>
          <w:sz w:val="20"/>
          <w:szCs w:val="20"/>
          <w:lang w:eastAsia="pt-BR"/>
        </w:rPr>
        <w:t>194,</w:t>
      </w:r>
      <w:proofErr w:type="gramEnd"/>
      <w:r w:rsidRPr="00E75EB1">
        <w:rPr>
          <w:rFonts w:ascii="Arial" w:eastAsia="Times New Roman" w:hAnsi="Arial" w:cs="Arial"/>
          <w:sz w:val="20"/>
          <w:szCs w:val="20"/>
          <w:lang w:eastAsia="pt-BR"/>
        </w:rPr>
        <w:t>734 bilhões em junho, ante déficit de R$ 11,805 bilhões de um ano antes. Em 12 meses o déficit primário chegou a R$ 483,9 bilhões, representando 6,71% do PIB.</w:t>
      </w:r>
    </w:p>
    <w:p w:rsidR="00B75C56" w:rsidRPr="00E75EB1" w:rsidRDefault="00B75C56" w:rsidP="00E75EB1">
      <w:pPr>
        <w:spacing w:before="240" w:after="100" w:afterAutospacing="1" w:line="240" w:lineRule="auto"/>
        <w:jc w:val="both"/>
        <w:rPr>
          <w:rFonts w:ascii="Times New Roman" w:eastAsia="Times New Roman" w:hAnsi="Times New Roman" w:cs="Times New Roman"/>
          <w:sz w:val="24"/>
          <w:szCs w:val="24"/>
          <w:lang w:eastAsia="pt-BR"/>
        </w:rPr>
      </w:pPr>
      <w:r w:rsidRPr="00E75EB1">
        <w:rPr>
          <w:rFonts w:ascii="Arial" w:eastAsia="Times New Roman" w:hAnsi="Arial" w:cs="Arial"/>
          <w:sz w:val="20"/>
          <w:szCs w:val="20"/>
          <w:lang w:eastAsia="pt-BR"/>
        </w:rPr>
        <w:t xml:space="preserve">Segundo o secretário do Tesouro Nacional, Bruno Funchal, as medidas de combate à </w:t>
      </w:r>
      <w:proofErr w:type="spellStart"/>
      <w:r w:rsidRPr="00E75EB1">
        <w:rPr>
          <w:rFonts w:ascii="Arial" w:eastAsia="Times New Roman" w:hAnsi="Arial" w:cs="Arial"/>
          <w:sz w:val="20"/>
          <w:szCs w:val="20"/>
          <w:lang w:eastAsia="pt-BR"/>
        </w:rPr>
        <w:t>covid</w:t>
      </w:r>
      <w:proofErr w:type="spellEnd"/>
      <w:r w:rsidRPr="00E75EB1">
        <w:rPr>
          <w:rFonts w:ascii="Arial" w:eastAsia="Times New Roman" w:hAnsi="Arial" w:cs="Arial"/>
          <w:sz w:val="20"/>
          <w:szCs w:val="20"/>
          <w:lang w:eastAsia="pt-BR"/>
        </w:rPr>
        <w:t xml:space="preserve">-19 é o principal motivo pelos déficits registrados nos primeiros seis meses do ano. </w:t>
      </w:r>
    </w:p>
    <w:p w:rsidR="00B75C56" w:rsidRPr="00E75EB1" w:rsidRDefault="00B75C56" w:rsidP="00B75C56">
      <w:pPr>
        <w:spacing w:before="240" w:after="100" w:afterAutospacing="1" w:line="240" w:lineRule="auto"/>
        <w:rPr>
          <w:rFonts w:ascii="Times New Roman" w:eastAsia="Times New Roman" w:hAnsi="Times New Roman" w:cs="Times New Roman"/>
          <w:sz w:val="24"/>
          <w:szCs w:val="24"/>
          <w:lang w:eastAsia="pt-BR"/>
        </w:rPr>
      </w:pPr>
      <w:r w:rsidRPr="00E75EB1">
        <w:rPr>
          <w:rFonts w:ascii="Arial" w:eastAsia="Times New Roman" w:hAnsi="Arial" w:cs="Arial"/>
          <w:b/>
          <w:bCs/>
          <w:sz w:val="20"/>
          <w:szCs w:val="20"/>
          <w:lang w:eastAsia="pt-BR"/>
        </w:rPr>
        <w:t>INFLAÇÃO</w:t>
      </w:r>
    </w:p>
    <w:p w:rsidR="00B75C56" w:rsidRPr="00E75EB1" w:rsidRDefault="00B75C56" w:rsidP="00E75EB1">
      <w:pPr>
        <w:spacing w:before="240" w:after="100" w:afterAutospacing="1" w:line="240" w:lineRule="auto"/>
        <w:jc w:val="both"/>
        <w:rPr>
          <w:rFonts w:ascii="Times New Roman" w:eastAsia="Times New Roman" w:hAnsi="Times New Roman" w:cs="Times New Roman"/>
          <w:sz w:val="24"/>
          <w:szCs w:val="24"/>
          <w:lang w:eastAsia="pt-BR"/>
        </w:rPr>
      </w:pPr>
      <w:r w:rsidRPr="00E75EB1">
        <w:rPr>
          <w:rFonts w:ascii="Arial" w:eastAsia="Times New Roman" w:hAnsi="Arial" w:cs="Arial"/>
          <w:sz w:val="20"/>
          <w:szCs w:val="20"/>
          <w:lang w:eastAsia="pt-BR"/>
        </w:rPr>
        <w:t>O IBGE (Instituto Brasileiro de Geografia e Estatística) informou que o IPCA subiu 0,26% em junho. No acumulado do primeiro semestre do ano, a alta é de 0,10%.</w:t>
      </w:r>
    </w:p>
    <w:p w:rsidR="00B75C56" w:rsidRPr="00E75EB1" w:rsidRDefault="00B75C56" w:rsidP="00E75EB1">
      <w:pPr>
        <w:spacing w:before="240" w:after="100" w:afterAutospacing="1" w:line="240" w:lineRule="auto"/>
        <w:jc w:val="both"/>
        <w:rPr>
          <w:rFonts w:ascii="Times New Roman" w:eastAsia="Times New Roman" w:hAnsi="Times New Roman" w:cs="Times New Roman"/>
          <w:sz w:val="24"/>
          <w:szCs w:val="24"/>
          <w:lang w:eastAsia="pt-BR"/>
        </w:rPr>
      </w:pPr>
      <w:r w:rsidRPr="00E75EB1">
        <w:rPr>
          <w:rFonts w:ascii="Arial" w:eastAsia="Times New Roman" w:hAnsi="Arial" w:cs="Arial"/>
          <w:sz w:val="20"/>
          <w:szCs w:val="20"/>
          <w:lang w:eastAsia="pt-BR"/>
        </w:rPr>
        <w:t xml:space="preserve">No Relatório </w:t>
      </w:r>
      <w:proofErr w:type="spellStart"/>
      <w:r w:rsidRPr="00E75EB1">
        <w:rPr>
          <w:rFonts w:ascii="Arial" w:eastAsia="Times New Roman" w:hAnsi="Arial" w:cs="Arial"/>
          <w:sz w:val="20"/>
          <w:szCs w:val="20"/>
          <w:lang w:eastAsia="pt-BR"/>
        </w:rPr>
        <w:t>Focus</w:t>
      </w:r>
      <w:proofErr w:type="spellEnd"/>
      <w:r w:rsidRPr="00E75EB1">
        <w:rPr>
          <w:rFonts w:ascii="Arial" w:eastAsia="Times New Roman" w:hAnsi="Arial" w:cs="Arial"/>
          <w:sz w:val="20"/>
          <w:szCs w:val="20"/>
          <w:lang w:eastAsia="pt-BR"/>
        </w:rPr>
        <w:t xml:space="preserve">, foi divulgado que entre as instituições que mais se aproximam do resultado efetivo do IPCA no médio prazo, denominadas top </w:t>
      </w:r>
      <w:proofErr w:type="gramStart"/>
      <w:r w:rsidRPr="00E75EB1">
        <w:rPr>
          <w:rFonts w:ascii="Arial" w:eastAsia="Times New Roman" w:hAnsi="Arial" w:cs="Arial"/>
          <w:sz w:val="20"/>
          <w:szCs w:val="20"/>
          <w:lang w:eastAsia="pt-BR"/>
        </w:rPr>
        <w:t>5</w:t>
      </w:r>
      <w:proofErr w:type="gramEnd"/>
      <w:r w:rsidRPr="00E75EB1">
        <w:rPr>
          <w:rFonts w:ascii="Arial" w:eastAsia="Times New Roman" w:hAnsi="Arial" w:cs="Arial"/>
          <w:sz w:val="20"/>
          <w:szCs w:val="20"/>
          <w:lang w:eastAsia="pt-BR"/>
        </w:rPr>
        <w:t xml:space="preserve">, a mediana das projeções para 2020 foi de 1,51% para 1,80%. Para 2021, a estimativa do top </w:t>
      </w:r>
      <w:proofErr w:type="gramStart"/>
      <w:r w:rsidRPr="00E75EB1">
        <w:rPr>
          <w:rFonts w:ascii="Arial" w:eastAsia="Times New Roman" w:hAnsi="Arial" w:cs="Arial"/>
          <w:sz w:val="20"/>
          <w:szCs w:val="20"/>
          <w:lang w:eastAsia="pt-BR"/>
        </w:rPr>
        <w:t>5</w:t>
      </w:r>
      <w:proofErr w:type="gramEnd"/>
      <w:r w:rsidRPr="00E75EB1">
        <w:rPr>
          <w:rFonts w:ascii="Arial" w:eastAsia="Times New Roman" w:hAnsi="Arial" w:cs="Arial"/>
          <w:sz w:val="20"/>
          <w:szCs w:val="20"/>
          <w:lang w:eastAsia="pt-BR"/>
        </w:rPr>
        <w:t xml:space="preserve"> permaneceu em 2,80%. Quatro semanas atrás, as expectativas eram de </w:t>
      </w:r>
      <w:proofErr w:type="gramStart"/>
      <w:r w:rsidRPr="00E75EB1">
        <w:rPr>
          <w:rFonts w:ascii="Arial" w:eastAsia="Times New Roman" w:hAnsi="Arial" w:cs="Arial"/>
          <w:sz w:val="20"/>
          <w:szCs w:val="20"/>
          <w:lang w:eastAsia="pt-BR"/>
        </w:rPr>
        <w:t>1,51% e 2,80%, nesta ordem</w:t>
      </w:r>
      <w:proofErr w:type="gramEnd"/>
      <w:r w:rsidRPr="00E75EB1">
        <w:rPr>
          <w:rFonts w:ascii="Arial" w:eastAsia="Times New Roman" w:hAnsi="Arial" w:cs="Arial"/>
          <w:sz w:val="20"/>
          <w:szCs w:val="20"/>
          <w:lang w:eastAsia="pt-BR"/>
        </w:rPr>
        <w:t>.</w:t>
      </w:r>
    </w:p>
    <w:p w:rsidR="00B75C56" w:rsidRPr="00E75EB1" w:rsidRDefault="00B75C56" w:rsidP="00E75EB1">
      <w:pPr>
        <w:spacing w:before="240" w:after="100" w:afterAutospacing="1" w:line="240" w:lineRule="auto"/>
        <w:jc w:val="both"/>
        <w:rPr>
          <w:rFonts w:ascii="Times New Roman" w:eastAsia="Times New Roman" w:hAnsi="Times New Roman" w:cs="Times New Roman"/>
          <w:sz w:val="24"/>
          <w:szCs w:val="24"/>
          <w:lang w:eastAsia="pt-BR"/>
        </w:rPr>
      </w:pPr>
      <w:r w:rsidRPr="00E75EB1">
        <w:rPr>
          <w:rFonts w:ascii="Arial" w:eastAsia="Times New Roman" w:hAnsi="Arial" w:cs="Arial"/>
          <w:sz w:val="20"/>
          <w:szCs w:val="20"/>
          <w:lang w:eastAsia="pt-BR"/>
        </w:rPr>
        <w:t xml:space="preserve">No caso de 2022, a mediana do IPCA no Top </w:t>
      </w:r>
      <w:proofErr w:type="gramStart"/>
      <w:r w:rsidRPr="00E75EB1">
        <w:rPr>
          <w:rFonts w:ascii="Arial" w:eastAsia="Times New Roman" w:hAnsi="Arial" w:cs="Arial"/>
          <w:sz w:val="20"/>
          <w:szCs w:val="20"/>
          <w:lang w:eastAsia="pt-BR"/>
        </w:rPr>
        <w:t>5</w:t>
      </w:r>
      <w:proofErr w:type="gramEnd"/>
      <w:r w:rsidRPr="00E75EB1">
        <w:rPr>
          <w:rFonts w:ascii="Arial" w:eastAsia="Times New Roman" w:hAnsi="Arial" w:cs="Arial"/>
          <w:sz w:val="20"/>
          <w:szCs w:val="20"/>
          <w:lang w:eastAsia="pt-BR"/>
        </w:rPr>
        <w:t xml:space="preserve"> permaneceu em 3,50%, igual ao visto um mês atrás. A projeção para 2023 no Top </w:t>
      </w:r>
      <w:proofErr w:type="gramStart"/>
      <w:r w:rsidRPr="00E75EB1">
        <w:rPr>
          <w:rFonts w:ascii="Arial" w:eastAsia="Times New Roman" w:hAnsi="Arial" w:cs="Arial"/>
          <w:sz w:val="20"/>
          <w:szCs w:val="20"/>
          <w:lang w:eastAsia="pt-BR"/>
        </w:rPr>
        <w:t>5</w:t>
      </w:r>
      <w:proofErr w:type="gramEnd"/>
      <w:r w:rsidRPr="00E75EB1">
        <w:rPr>
          <w:rFonts w:ascii="Arial" w:eastAsia="Times New Roman" w:hAnsi="Arial" w:cs="Arial"/>
          <w:sz w:val="20"/>
          <w:szCs w:val="20"/>
          <w:lang w:eastAsia="pt-BR"/>
        </w:rPr>
        <w:t xml:space="preserve"> foi de 3,38% para 3,25%, ante 3,50% de quatro semanas antes.</w:t>
      </w:r>
    </w:p>
    <w:p w:rsidR="00B75C56" w:rsidRPr="00E75EB1" w:rsidRDefault="00B75C56" w:rsidP="00E75EB1">
      <w:pPr>
        <w:spacing w:before="240" w:after="100" w:afterAutospacing="1" w:line="240" w:lineRule="auto"/>
        <w:jc w:val="both"/>
        <w:rPr>
          <w:rFonts w:ascii="Times New Roman" w:eastAsia="Times New Roman" w:hAnsi="Times New Roman" w:cs="Times New Roman"/>
          <w:sz w:val="24"/>
          <w:szCs w:val="24"/>
          <w:lang w:eastAsia="pt-BR"/>
        </w:rPr>
      </w:pPr>
      <w:r w:rsidRPr="00E75EB1">
        <w:rPr>
          <w:rFonts w:ascii="Arial" w:eastAsia="Times New Roman" w:hAnsi="Arial" w:cs="Arial"/>
          <w:sz w:val="20"/>
          <w:szCs w:val="20"/>
          <w:lang w:eastAsia="pt-BR"/>
        </w:rPr>
        <w:t>Já o Índice Nacional de Preços ao Consumidor (INPC), que mede a variação da cesta de consumo de famílias com renda de até cinco salários-mínimos e chefiadas por assalariados, registrou inflação de 0,30% em junho, após registrar alta de -0,25% em maio. Como resultado, o índice acumulou uma elevação de 0,36% no ano e 2,35% em doze meses.</w:t>
      </w:r>
    </w:p>
    <w:p w:rsidR="00B75C56" w:rsidRPr="00E75EB1" w:rsidRDefault="00B75C56" w:rsidP="00E75EB1">
      <w:pPr>
        <w:spacing w:before="240" w:after="100" w:afterAutospacing="1" w:line="240" w:lineRule="auto"/>
        <w:jc w:val="both"/>
        <w:rPr>
          <w:rFonts w:ascii="Times New Roman" w:eastAsia="Times New Roman" w:hAnsi="Times New Roman" w:cs="Times New Roman"/>
          <w:sz w:val="24"/>
          <w:szCs w:val="24"/>
          <w:lang w:eastAsia="pt-BR"/>
        </w:rPr>
      </w:pPr>
      <w:r w:rsidRPr="00E75EB1">
        <w:rPr>
          <w:rFonts w:ascii="Arial" w:eastAsia="Times New Roman" w:hAnsi="Arial" w:cs="Arial"/>
          <w:b/>
          <w:bCs/>
          <w:sz w:val="20"/>
          <w:szCs w:val="20"/>
          <w:lang w:eastAsia="pt-BR"/>
        </w:rPr>
        <w:t xml:space="preserve">CÂMBIO E SETOR EXTERNO </w:t>
      </w:r>
    </w:p>
    <w:p w:rsidR="00B75C56" w:rsidRPr="00E75EB1" w:rsidRDefault="00B75C56" w:rsidP="00E75EB1">
      <w:pPr>
        <w:spacing w:before="240" w:after="100" w:afterAutospacing="1" w:line="240" w:lineRule="auto"/>
        <w:jc w:val="both"/>
        <w:rPr>
          <w:rFonts w:ascii="Times New Roman" w:eastAsia="Times New Roman" w:hAnsi="Times New Roman" w:cs="Times New Roman"/>
          <w:sz w:val="24"/>
          <w:szCs w:val="24"/>
          <w:lang w:eastAsia="pt-BR"/>
        </w:rPr>
      </w:pPr>
      <w:r w:rsidRPr="00E75EB1">
        <w:rPr>
          <w:rFonts w:ascii="Arial" w:eastAsia="Times New Roman" w:hAnsi="Arial" w:cs="Arial"/>
          <w:sz w:val="20"/>
          <w:szCs w:val="20"/>
          <w:lang w:eastAsia="pt-BR"/>
        </w:rPr>
        <w:t xml:space="preserve">O dólar comercial encerrou o mês de junho com alta de 1,87%, cotado a R$ </w:t>
      </w:r>
      <w:proofErr w:type="gramStart"/>
      <w:r w:rsidRPr="00E75EB1">
        <w:rPr>
          <w:rFonts w:ascii="Arial" w:eastAsia="Times New Roman" w:hAnsi="Arial" w:cs="Arial"/>
          <w:sz w:val="20"/>
          <w:szCs w:val="20"/>
          <w:lang w:eastAsia="pt-BR"/>
        </w:rPr>
        <w:t>5,</w:t>
      </w:r>
      <w:proofErr w:type="gramEnd"/>
      <w:r w:rsidRPr="00E75EB1">
        <w:rPr>
          <w:rFonts w:ascii="Arial" w:eastAsia="Times New Roman" w:hAnsi="Arial" w:cs="Arial"/>
          <w:sz w:val="20"/>
          <w:szCs w:val="20"/>
          <w:lang w:eastAsia="pt-BR"/>
        </w:rPr>
        <w:t xml:space="preserve">440 na venda, em meio à deterioração das contas públicas devido ao elevado custo social produzido pela pandemia do </w:t>
      </w:r>
      <w:proofErr w:type="spellStart"/>
      <w:r w:rsidRPr="00E75EB1">
        <w:rPr>
          <w:rFonts w:ascii="Arial" w:eastAsia="Times New Roman" w:hAnsi="Arial" w:cs="Arial"/>
          <w:sz w:val="20"/>
          <w:szCs w:val="20"/>
          <w:lang w:eastAsia="pt-BR"/>
        </w:rPr>
        <w:t>corona-vírus</w:t>
      </w:r>
      <w:proofErr w:type="spellEnd"/>
      <w:r w:rsidRPr="00E75EB1">
        <w:rPr>
          <w:rFonts w:ascii="Arial" w:eastAsia="Times New Roman" w:hAnsi="Arial" w:cs="Arial"/>
          <w:sz w:val="20"/>
          <w:szCs w:val="20"/>
          <w:lang w:eastAsia="pt-BR"/>
        </w:rPr>
        <w:t>, e os temores dos impactos da paralisação das atividades na economia por um período prolongado. No acumulado do ano, a moeda norte-americana valorizou 35,56%.</w:t>
      </w:r>
    </w:p>
    <w:p w:rsidR="00B75C56" w:rsidRPr="00E75EB1" w:rsidRDefault="00B75C56" w:rsidP="00E75EB1">
      <w:pPr>
        <w:spacing w:before="240" w:after="100" w:afterAutospacing="1" w:line="240" w:lineRule="auto"/>
        <w:jc w:val="both"/>
        <w:rPr>
          <w:rFonts w:ascii="Times New Roman" w:eastAsia="Times New Roman" w:hAnsi="Times New Roman" w:cs="Times New Roman"/>
          <w:sz w:val="24"/>
          <w:szCs w:val="24"/>
          <w:lang w:eastAsia="pt-BR"/>
        </w:rPr>
      </w:pPr>
      <w:r w:rsidRPr="00E75EB1">
        <w:rPr>
          <w:rFonts w:ascii="Arial" w:eastAsia="Times New Roman" w:hAnsi="Arial" w:cs="Arial"/>
          <w:sz w:val="20"/>
          <w:szCs w:val="20"/>
          <w:lang w:eastAsia="pt-BR"/>
        </w:rPr>
        <w:t xml:space="preserve">Em maio, as transações correntes apresentaram superávit de </w:t>
      </w:r>
      <w:proofErr w:type="gramStart"/>
      <w:r w:rsidRPr="00E75EB1">
        <w:rPr>
          <w:rFonts w:ascii="Arial" w:eastAsia="Times New Roman" w:hAnsi="Arial" w:cs="Arial"/>
          <w:sz w:val="20"/>
          <w:szCs w:val="20"/>
          <w:lang w:eastAsia="pt-BR"/>
        </w:rPr>
        <w:t>US$ 1,3 bilhões</w:t>
      </w:r>
      <w:proofErr w:type="gramEnd"/>
      <w:r w:rsidRPr="00E75EB1">
        <w:rPr>
          <w:rFonts w:ascii="Arial" w:eastAsia="Times New Roman" w:hAnsi="Arial" w:cs="Arial"/>
          <w:sz w:val="20"/>
          <w:szCs w:val="20"/>
          <w:lang w:eastAsia="pt-BR"/>
        </w:rPr>
        <w:t xml:space="preserve"> em termos nominais, o terceiro número positivo consecutivo. O déficit acumulado nos cinco primeiros meses do ano de 2020 somou US$11,3 bilhões. Em 12 meses, o déficit em transações correntes somou US$ 42,4 bilhões (2,54% do PIB).</w:t>
      </w:r>
    </w:p>
    <w:p w:rsidR="00B75C56" w:rsidRPr="00E75EB1" w:rsidRDefault="00B75C56" w:rsidP="00E75EB1">
      <w:pPr>
        <w:spacing w:before="240" w:after="100" w:afterAutospacing="1" w:line="240" w:lineRule="auto"/>
        <w:jc w:val="both"/>
        <w:rPr>
          <w:rFonts w:ascii="Times New Roman" w:eastAsia="Times New Roman" w:hAnsi="Times New Roman" w:cs="Times New Roman"/>
          <w:sz w:val="24"/>
          <w:szCs w:val="24"/>
          <w:lang w:eastAsia="pt-BR"/>
        </w:rPr>
      </w:pPr>
      <w:r w:rsidRPr="00E75EB1">
        <w:rPr>
          <w:rFonts w:ascii="Arial" w:eastAsia="Times New Roman" w:hAnsi="Arial" w:cs="Arial"/>
          <w:sz w:val="20"/>
          <w:szCs w:val="20"/>
          <w:lang w:eastAsia="pt-BR"/>
        </w:rPr>
        <w:lastRenderedPageBreak/>
        <w:t>O estoque de reservas internacionais atingiu US$ 347,7 bilhões em maio. O aumento de US$ 6,4 bilhões, relativamente à posição de abril, decorreu principalmente da liquidação de US$ 5,5 bilhões</w:t>
      </w:r>
      <w:r w:rsidRPr="00B75C56">
        <w:rPr>
          <w:rFonts w:ascii="Arial" w:eastAsia="Times New Roman" w:hAnsi="Arial" w:cs="Arial"/>
          <w:color w:val="FF0000"/>
          <w:sz w:val="20"/>
          <w:szCs w:val="20"/>
          <w:lang w:eastAsia="pt-BR"/>
        </w:rPr>
        <w:t xml:space="preserve"> </w:t>
      </w:r>
      <w:r w:rsidRPr="00E75EB1">
        <w:rPr>
          <w:rFonts w:ascii="Arial" w:eastAsia="Times New Roman" w:hAnsi="Arial" w:cs="Arial"/>
          <w:sz w:val="20"/>
          <w:szCs w:val="20"/>
          <w:lang w:eastAsia="pt-BR"/>
        </w:rPr>
        <w:t xml:space="preserve">em intervenções no mercado de câmbio, compostas por US$ 520 milhões em vendas à vista, US$ 3,8 bilhões de concessões líquidas em linhas com recompra, e US$ 2,2 bilhões em retornos líquidos nas operações compromissadas em moeda estrangeira. </w:t>
      </w:r>
    </w:p>
    <w:p w:rsidR="00B75C56" w:rsidRPr="00E75EB1" w:rsidRDefault="00B75C56" w:rsidP="00E75EB1">
      <w:pPr>
        <w:spacing w:before="240" w:after="100" w:afterAutospacing="1" w:line="240" w:lineRule="auto"/>
        <w:jc w:val="both"/>
        <w:rPr>
          <w:rFonts w:ascii="Times New Roman" w:eastAsia="Times New Roman" w:hAnsi="Times New Roman" w:cs="Times New Roman"/>
          <w:sz w:val="24"/>
          <w:szCs w:val="24"/>
          <w:lang w:eastAsia="pt-BR"/>
        </w:rPr>
      </w:pPr>
      <w:r w:rsidRPr="00E75EB1">
        <w:rPr>
          <w:rFonts w:ascii="Arial" w:eastAsia="Times New Roman" w:hAnsi="Arial" w:cs="Arial"/>
          <w:sz w:val="20"/>
          <w:szCs w:val="20"/>
          <w:lang w:eastAsia="pt-BR"/>
        </w:rPr>
        <w:t xml:space="preserve">Conforme divulgou a Secretaria do Comércio Exterior do Ministério da Economia, a balança comercial brasileira registrou superávit de US$ </w:t>
      </w:r>
      <w:proofErr w:type="gramStart"/>
      <w:r w:rsidRPr="00E75EB1">
        <w:rPr>
          <w:rFonts w:ascii="Arial" w:eastAsia="Times New Roman" w:hAnsi="Arial" w:cs="Arial"/>
          <w:sz w:val="20"/>
          <w:szCs w:val="20"/>
          <w:lang w:eastAsia="pt-BR"/>
        </w:rPr>
        <w:t>7,</w:t>
      </w:r>
      <w:proofErr w:type="gramEnd"/>
      <w:r w:rsidRPr="00E75EB1">
        <w:rPr>
          <w:rFonts w:ascii="Arial" w:eastAsia="Times New Roman" w:hAnsi="Arial" w:cs="Arial"/>
          <w:sz w:val="20"/>
          <w:szCs w:val="20"/>
          <w:lang w:eastAsia="pt-BR"/>
        </w:rPr>
        <w:t xml:space="preserve">463 em junho. O valor indica um crescimento de 25,6% em comparação a junho de 2019, além de um recorde para o mês, desde 1989. Com o resultado, a balança comercial acumula superávit de US$ </w:t>
      </w:r>
      <w:proofErr w:type="gramStart"/>
      <w:r w:rsidRPr="00E75EB1">
        <w:rPr>
          <w:rFonts w:ascii="Arial" w:eastAsia="Times New Roman" w:hAnsi="Arial" w:cs="Arial"/>
          <w:sz w:val="20"/>
          <w:szCs w:val="20"/>
          <w:lang w:eastAsia="pt-BR"/>
        </w:rPr>
        <w:t>23,</w:t>
      </w:r>
      <w:proofErr w:type="gramEnd"/>
      <w:r w:rsidRPr="00E75EB1">
        <w:rPr>
          <w:rFonts w:ascii="Arial" w:eastAsia="Times New Roman" w:hAnsi="Arial" w:cs="Arial"/>
          <w:sz w:val="20"/>
          <w:szCs w:val="20"/>
          <w:lang w:eastAsia="pt-BR"/>
        </w:rPr>
        <w:t xml:space="preserve">035 bilhões neste ano. As exportações recuaram para US$ </w:t>
      </w:r>
      <w:proofErr w:type="gramStart"/>
      <w:r w:rsidRPr="00E75EB1">
        <w:rPr>
          <w:rFonts w:ascii="Arial" w:eastAsia="Times New Roman" w:hAnsi="Arial" w:cs="Arial"/>
          <w:sz w:val="20"/>
          <w:szCs w:val="20"/>
          <w:lang w:eastAsia="pt-BR"/>
        </w:rPr>
        <w:t>17,</w:t>
      </w:r>
      <w:proofErr w:type="gramEnd"/>
      <w:r w:rsidRPr="00E75EB1">
        <w:rPr>
          <w:rFonts w:ascii="Arial" w:eastAsia="Times New Roman" w:hAnsi="Arial" w:cs="Arial"/>
          <w:sz w:val="20"/>
          <w:szCs w:val="20"/>
          <w:lang w:eastAsia="pt-BR"/>
        </w:rPr>
        <w:t>912 bilhões, enquanto as importações somaram US$ 10,449.</w:t>
      </w:r>
    </w:p>
    <w:p w:rsidR="00B75C56" w:rsidRPr="00A706DF" w:rsidRDefault="00B75C56" w:rsidP="00B75C56">
      <w:pPr>
        <w:spacing w:before="240" w:after="100" w:afterAutospacing="1" w:line="240" w:lineRule="auto"/>
        <w:rPr>
          <w:rFonts w:ascii="Times New Roman" w:eastAsia="Times New Roman" w:hAnsi="Times New Roman" w:cs="Times New Roman"/>
          <w:sz w:val="24"/>
          <w:szCs w:val="24"/>
          <w:lang w:eastAsia="pt-BR"/>
        </w:rPr>
      </w:pPr>
      <w:r w:rsidRPr="00A706DF">
        <w:rPr>
          <w:rFonts w:ascii="Arial" w:eastAsia="Times New Roman" w:hAnsi="Arial" w:cs="Arial"/>
          <w:b/>
          <w:bCs/>
          <w:sz w:val="20"/>
          <w:szCs w:val="20"/>
          <w:lang w:eastAsia="pt-BR"/>
        </w:rPr>
        <w:t>MERCADO DE RENDA FIXA E RENDA VARIÁVEL</w:t>
      </w:r>
    </w:p>
    <w:p w:rsidR="00B75C56" w:rsidRPr="00A706DF" w:rsidRDefault="00B75C56" w:rsidP="00A706DF">
      <w:pPr>
        <w:spacing w:before="240" w:after="100" w:afterAutospacing="1" w:line="240" w:lineRule="auto"/>
        <w:jc w:val="both"/>
        <w:rPr>
          <w:rFonts w:ascii="Times New Roman" w:eastAsia="Times New Roman" w:hAnsi="Times New Roman" w:cs="Times New Roman"/>
          <w:sz w:val="24"/>
          <w:szCs w:val="24"/>
          <w:lang w:eastAsia="pt-BR"/>
        </w:rPr>
      </w:pPr>
      <w:r w:rsidRPr="00A706DF">
        <w:rPr>
          <w:rFonts w:ascii="Arial" w:eastAsia="Times New Roman" w:hAnsi="Arial" w:cs="Arial"/>
          <w:sz w:val="20"/>
          <w:szCs w:val="20"/>
          <w:lang w:eastAsia="pt-BR"/>
        </w:rPr>
        <w:t xml:space="preserve">Os impactos na economia devido </w:t>
      </w:r>
      <w:proofErr w:type="gramStart"/>
      <w:r w:rsidRPr="00A706DF">
        <w:rPr>
          <w:rFonts w:ascii="Arial" w:eastAsia="Times New Roman" w:hAnsi="Arial" w:cs="Arial"/>
          <w:sz w:val="20"/>
          <w:szCs w:val="20"/>
          <w:lang w:eastAsia="pt-BR"/>
        </w:rPr>
        <w:t>a</w:t>
      </w:r>
      <w:proofErr w:type="gramEnd"/>
      <w:r w:rsidRPr="00A706DF">
        <w:rPr>
          <w:rFonts w:ascii="Arial" w:eastAsia="Times New Roman" w:hAnsi="Arial" w:cs="Arial"/>
          <w:sz w:val="20"/>
          <w:szCs w:val="20"/>
          <w:lang w:eastAsia="pt-BR"/>
        </w:rPr>
        <w:t xml:space="preserve"> pandemia a partir de março fizeram com que as taxas de juros, que já testavam as mínimas históricas caíssem ainda mais. O Copom em junho definiu a meta da taxa </w:t>
      </w:r>
      <w:proofErr w:type="spellStart"/>
      <w:r w:rsidRPr="00A706DF">
        <w:rPr>
          <w:rFonts w:ascii="Arial" w:eastAsia="Times New Roman" w:hAnsi="Arial" w:cs="Arial"/>
          <w:sz w:val="20"/>
          <w:szCs w:val="20"/>
          <w:lang w:eastAsia="pt-BR"/>
        </w:rPr>
        <w:t>Selic</w:t>
      </w:r>
      <w:proofErr w:type="spellEnd"/>
      <w:r w:rsidRPr="00A706DF">
        <w:rPr>
          <w:rFonts w:ascii="Arial" w:eastAsia="Times New Roman" w:hAnsi="Arial" w:cs="Arial"/>
          <w:sz w:val="20"/>
          <w:szCs w:val="20"/>
          <w:lang w:eastAsia="pt-BR"/>
        </w:rPr>
        <w:t xml:space="preserve"> em 2,25% ao ano. Essa redução, combinada a um nível mais baixo de volatilidade, reverteu </w:t>
      </w:r>
      <w:r w:rsidR="00A706DF" w:rsidRPr="00A706DF">
        <w:rPr>
          <w:rFonts w:ascii="Arial" w:eastAsia="Times New Roman" w:hAnsi="Arial" w:cs="Arial"/>
          <w:sz w:val="20"/>
          <w:szCs w:val="20"/>
          <w:lang w:eastAsia="pt-BR"/>
        </w:rPr>
        <w:t>parte da desvalorização dos preços dos ativos observada neste semestre, principalmente no mercado de títulos públicos</w:t>
      </w:r>
      <w:r w:rsidRPr="00A706DF">
        <w:rPr>
          <w:rFonts w:ascii="Arial" w:eastAsia="Times New Roman" w:hAnsi="Arial" w:cs="Arial"/>
          <w:sz w:val="20"/>
          <w:szCs w:val="20"/>
          <w:lang w:eastAsia="pt-BR"/>
        </w:rPr>
        <w:t xml:space="preserve">. O </w:t>
      </w:r>
      <w:proofErr w:type="spellStart"/>
      <w:r w:rsidRPr="00A706DF">
        <w:rPr>
          <w:rFonts w:ascii="Arial" w:eastAsia="Times New Roman" w:hAnsi="Arial" w:cs="Arial"/>
          <w:sz w:val="20"/>
          <w:szCs w:val="20"/>
          <w:lang w:eastAsia="pt-BR"/>
        </w:rPr>
        <w:t>IMA-Geral</w:t>
      </w:r>
      <w:proofErr w:type="spellEnd"/>
      <w:r w:rsidRPr="00A706DF">
        <w:rPr>
          <w:rFonts w:ascii="Arial" w:eastAsia="Times New Roman" w:hAnsi="Arial" w:cs="Arial"/>
          <w:sz w:val="20"/>
          <w:szCs w:val="20"/>
          <w:lang w:eastAsia="pt-BR"/>
        </w:rPr>
        <w:t xml:space="preserve"> encerra o semestre com ganho de 1,87%. Vale destacar que desde maio se observa recuperação nos preços dos ativos, sobretudo a carteira de títulos públicos em mercado, que já apresenta retornos positivos.</w:t>
      </w:r>
    </w:p>
    <w:p w:rsidR="00B75C56" w:rsidRPr="00A706DF" w:rsidRDefault="00B75C56" w:rsidP="00A706DF">
      <w:pPr>
        <w:spacing w:before="240" w:after="100" w:afterAutospacing="1" w:line="240" w:lineRule="auto"/>
        <w:jc w:val="both"/>
        <w:rPr>
          <w:rFonts w:ascii="Times New Roman" w:eastAsia="Times New Roman" w:hAnsi="Times New Roman" w:cs="Times New Roman"/>
          <w:sz w:val="24"/>
          <w:szCs w:val="24"/>
          <w:lang w:eastAsia="pt-BR"/>
        </w:rPr>
      </w:pPr>
      <w:r w:rsidRPr="00A706DF">
        <w:rPr>
          <w:rFonts w:ascii="Arial" w:eastAsia="Times New Roman" w:hAnsi="Arial" w:cs="Arial"/>
          <w:sz w:val="20"/>
          <w:szCs w:val="20"/>
          <w:lang w:eastAsia="pt-BR"/>
        </w:rPr>
        <w:t xml:space="preserve">No semestre, quase todos os </w:t>
      </w:r>
      <w:proofErr w:type="spellStart"/>
      <w:r w:rsidRPr="00A706DF">
        <w:rPr>
          <w:rFonts w:ascii="Arial" w:eastAsia="Times New Roman" w:hAnsi="Arial" w:cs="Arial"/>
          <w:sz w:val="20"/>
          <w:szCs w:val="20"/>
          <w:lang w:eastAsia="pt-BR"/>
        </w:rPr>
        <w:t>subíndices</w:t>
      </w:r>
      <w:proofErr w:type="spellEnd"/>
      <w:r w:rsidRPr="00A706DF">
        <w:rPr>
          <w:rFonts w:ascii="Arial" w:eastAsia="Times New Roman" w:hAnsi="Arial" w:cs="Arial"/>
          <w:sz w:val="20"/>
          <w:szCs w:val="20"/>
          <w:lang w:eastAsia="pt-BR"/>
        </w:rPr>
        <w:t xml:space="preserve"> apresentaram retorno positivo, com exceção das carteiras de </w:t>
      </w:r>
      <w:proofErr w:type="spellStart"/>
      <w:r w:rsidRPr="00A706DF">
        <w:rPr>
          <w:rFonts w:ascii="Arial" w:eastAsia="Times New Roman" w:hAnsi="Arial" w:cs="Arial"/>
          <w:sz w:val="20"/>
          <w:lang w:eastAsia="pt-BR"/>
        </w:rPr>
        <w:t>duration</w:t>
      </w:r>
      <w:proofErr w:type="spellEnd"/>
      <w:r w:rsidRPr="00A706DF">
        <w:rPr>
          <w:rFonts w:ascii="Arial" w:eastAsia="Times New Roman" w:hAnsi="Arial" w:cs="Arial"/>
          <w:sz w:val="20"/>
          <w:szCs w:val="20"/>
          <w:lang w:eastAsia="pt-BR"/>
        </w:rPr>
        <w:t xml:space="preserve"> mais longa. </w:t>
      </w:r>
      <w:proofErr w:type="gramStart"/>
      <w:r w:rsidRPr="00A706DF">
        <w:rPr>
          <w:rFonts w:ascii="Arial" w:eastAsia="Times New Roman" w:hAnsi="Arial" w:cs="Arial"/>
          <w:sz w:val="20"/>
          <w:szCs w:val="20"/>
          <w:lang w:eastAsia="pt-BR"/>
        </w:rPr>
        <w:t>O IMA</w:t>
      </w:r>
      <w:proofErr w:type="gramEnd"/>
      <w:r w:rsidRPr="00A706DF">
        <w:rPr>
          <w:rFonts w:ascii="Arial" w:eastAsia="Times New Roman" w:hAnsi="Arial" w:cs="Arial"/>
          <w:sz w:val="20"/>
          <w:szCs w:val="20"/>
          <w:lang w:eastAsia="pt-BR"/>
        </w:rPr>
        <w:t xml:space="preserve">-B5+, que apresentou ganho de quase 6% entre abril e junho, encerrou o semestre a -5,26%, refletindo a desconfiança dos investidores em relação ao ambiente econômico de longo prazo. Já </w:t>
      </w:r>
      <w:proofErr w:type="gramStart"/>
      <w:r w:rsidRPr="00A706DF">
        <w:rPr>
          <w:rFonts w:ascii="Arial" w:eastAsia="Times New Roman" w:hAnsi="Arial" w:cs="Arial"/>
          <w:sz w:val="20"/>
          <w:szCs w:val="20"/>
          <w:lang w:eastAsia="pt-BR"/>
        </w:rPr>
        <w:t>o IMA</w:t>
      </w:r>
      <w:proofErr w:type="gramEnd"/>
      <w:r w:rsidRPr="00A706DF">
        <w:rPr>
          <w:rFonts w:ascii="Arial" w:eastAsia="Times New Roman" w:hAnsi="Arial" w:cs="Arial"/>
          <w:sz w:val="20"/>
          <w:szCs w:val="20"/>
          <w:lang w:eastAsia="pt-BR"/>
        </w:rPr>
        <w:t xml:space="preserve">-B5 encerrou o semestre a 3,17% de ganho. Em relação aos títulos pré-fixados, representados pela IRF-M, o destaque no acumulado de 2020 até junho ficou com o IRF-M1+, com variação de 6,03%. O IRF-M e </w:t>
      </w:r>
      <w:proofErr w:type="gramStart"/>
      <w:r w:rsidRPr="00A706DF">
        <w:rPr>
          <w:rFonts w:ascii="Arial" w:eastAsia="Times New Roman" w:hAnsi="Arial" w:cs="Arial"/>
          <w:sz w:val="20"/>
          <w:szCs w:val="20"/>
          <w:lang w:eastAsia="pt-BR"/>
        </w:rPr>
        <w:t>o IMA</w:t>
      </w:r>
      <w:proofErr w:type="gramEnd"/>
      <w:r w:rsidRPr="00A706DF">
        <w:rPr>
          <w:rFonts w:ascii="Arial" w:eastAsia="Times New Roman" w:hAnsi="Arial" w:cs="Arial"/>
          <w:sz w:val="20"/>
          <w:szCs w:val="20"/>
          <w:lang w:eastAsia="pt-BR"/>
        </w:rPr>
        <w:t>-S rentabilizaram 2,6% e 1,72%, respectivamente.</w:t>
      </w:r>
    </w:p>
    <w:p w:rsidR="00B75C56" w:rsidRPr="00A706DF" w:rsidRDefault="00B75C56" w:rsidP="00A706DF">
      <w:pPr>
        <w:spacing w:before="240" w:after="100" w:afterAutospacing="1" w:line="240" w:lineRule="auto"/>
        <w:jc w:val="both"/>
        <w:rPr>
          <w:rFonts w:ascii="Times New Roman" w:eastAsia="Times New Roman" w:hAnsi="Times New Roman" w:cs="Times New Roman"/>
          <w:sz w:val="24"/>
          <w:szCs w:val="24"/>
          <w:lang w:eastAsia="pt-BR"/>
        </w:rPr>
      </w:pPr>
      <w:r w:rsidRPr="00A706DF">
        <w:rPr>
          <w:rFonts w:ascii="Arial" w:eastAsia="Times New Roman" w:hAnsi="Arial" w:cs="Arial"/>
          <w:sz w:val="20"/>
          <w:szCs w:val="20"/>
          <w:lang w:eastAsia="pt-BR"/>
        </w:rPr>
        <w:t>Para o Ibovespa, o mês foi de manutenção do movimento de recuperação parcial das fortes perdas observadas nos meses de março e abril. Mesmo com o avanço da pandemia pelo Brasil, o mercado financeiro acompanhou o desempenho externo. O Ibovespa espelhou, em parte, os ganhos das bolsas no exterior, mas principalmente a melhora de uma série de indicadores da economia doméstica. Ao final do mês de junho, o Ibovespa avançou 8,76%, reduzindo a desvalorização no ano para -17,80%. O índice encerrou o mês aos 94.229 pontos.</w:t>
      </w:r>
    </w:p>
    <w:p w:rsidR="00B75C56" w:rsidRPr="00830111" w:rsidRDefault="00B75C56" w:rsidP="00B75C56">
      <w:pPr>
        <w:spacing w:before="240" w:after="100" w:afterAutospacing="1" w:line="240" w:lineRule="auto"/>
        <w:rPr>
          <w:rFonts w:ascii="Times New Roman" w:eastAsia="Times New Roman" w:hAnsi="Times New Roman" w:cs="Times New Roman"/>
          <w:sz w:val="24"/>
          <w:szCs w:val="24"/>
          <w:lang w:eastAsia="pt-BR"/>
        </w:rPr>
      </w:pPr>
      <w:r w:rsidRPr="00830111">
        <w:rPr>
          <w:rFonts w:ascii="Arial" w:eastAsia="Times New Roman" w:hAnsi="Arial" w:cs="Arial"/>
          <w:b/>
          <w:bCs/>
          <w:sz w:val="20"/>
          <w:szCs w:val="20"/>
          <w:lang w:eastAsia="pt-BR"/>
        </w:rPr>
        <w:t>4.3</w:t>
      </w:r>
      <w:r w:rsidRPr="00830111">
        <w:rPr>
          <w:rFonts w:ascii="Arial" w:eastAsia="Times New Roman" w:hAnsi="Arial" w:cs="Arial"/>
          <w:b/>
          <w:bCs/>
          <w:sz w:val="20"/>
          <w:szCs w:val="20"/>
          <w:lang w:eastAsia="pt-BR"/>
        </w:rPr>
        <w:tab/>
        <w:t>PERSPECTIVAS</w:t>
      </w:r>
    </w:p>
    <w:p w:rsidR="00B75C56" w:rsidRPr="00830111" w:rsidRDefault="00B75C56" w:rsidP="00830111">
      <w:pPr>
        <w:spacing w:before="240" w:after="100" w:afterAutospacing="1" w:line="240" w:lineRule="auto"/>
        <w:jc w:val="both"/>
        <w:rPr>
          <w:rFonts w:ascii="Times New Roman" w:eastAsia="Times New Roman" w:hAnsi="Times New Roman" w:cs="Times New Roman"/>
          <w:sz w:val="24"/>
          <w:szCs w:val="24"/>
          <w:lang w:eastAsia="pt-BR"/>
        </w:rPr>
      </w:pPr>
      <w:r w:rsidRPr="00830111">
        <w:rPr>
          <w:rFonts w:ascii="Arial" w:eastAsia="Times New Roman" w:hAnsi="Arial" w:cs="Arial"/>
          <w:sz w:val="20"/>
          <w:szCs w:val="20"/>
          <w:lang w:eastAsia="pt-BR"/>
        </w:rPr>
        <w:t xml:space="preserve">O último mês do semestre foi pautado pela evolução positiva da pandemia no velho continente e na Ásia, apesar da preocupação com uma possível segunda onda de contágios devido à reabertura gradual das atividades, que colocou um grande contingente de pessoas na rua expostas ao vírus que ainda circula. Os indicadores mais recentes da saúde econômica dos países já permitem afirmar que a reabertura das atividades destravou a economia, ainda que a normalidade ainda esteja longe de ser atingida. </w:t>
      </w:r>
    </w:p>
    <w:p w:rsidR="00B75C56" w:rsidRPr="00830111" w:rsidRDefault="00B75C56" w:rsidP="00830111">
      <w:pPr>
        <w:spacing w:before="240" w:after="100" w:afterAutospacing="1" w:line="240" w:lineRule="auto"/>
        <w:jc w:val="both"/>
        <w:rPr>
          <w:rFonts w:ascii="Times New Roman" w:eastAsia="Times New Roman" w:hAnsi="Times New Roman" w:cs="Times New Roman"/>
          <w:sz w:val="24"/>
          <w:szCs w:val="24"/>
          <w:lang w:eastAsia="pt-BR"/>
        </w:rPr>
      </w:pPr>
      <w:r w:rsidRPr="00830111">
        <w:rPr>
          <w:rFonts w:ascii="Arial" w:eastAsia="Times New Roman" w:hAnsi="Arial" w:cs="Arial"/>
          <w:sz w:val="20"/>
          <w:szCs w:val="20"/>
          <w:lang w:eastAsia="pt-BR"/>
        </w:rPr>
        <w:t xml:space="preserve">A maior fonte de preocupação continua sendo nas Américas do Sul, Central e do Norte, onde o contágio e o número de óbitos seguem na direção ascendente. No Brasil, a disseminação do contágio pelo interior do país, ainda que nas principais regiões a escalada do contágio tenha regredido, manteve o número de novos casos em patamares elevados e a retomada da atividade como </w:t>
      </w:r>
      <w:proofErr w:type="gramStart"/>
      <w:r w:rsidRPr="00830111">
        <w:rPr>
          <w:rFonts w:ascii="Arial" w:eastAsia="Times New Roman" w:hAnsi="Arial" w:cs="Arial"/>
          <w:sz w:val="20"/>
          <w:szCs w:val="20"/>
          <w:lang w:eastAsia="pt-BR"/>
        </w:rPr>
        <w:t>um todo ainda reduzida</w:t>
      </w:r>
      <w:proofErr w:type="gramEnd"/>
      <w:r w:rsidRPr="00830111">
        <w:rPr>
          <w:rFonts w:ascii="Arial" w:eastAsia="Times New Roman" w:hAnsi="Arial" w:cs="Arial"/>
          <w:sz w:val="20"/>
          <w:szCs w:val="20"/>
          <w:lang w:eastAsia="pt-BR"/>
        </w:rPr>
        <w:t xml:space="preserve">. </w:t>
      </w:r>
    </w:p>
    <w:p w:rsidR="00B75C56" w:rsidRPr="00B75C56" w:rsidRDefault="00B75C56" w:rsidP="00830111">
      <w:pPr>
        <w:spacing w:before="240" w:after="100" w:afterAutospacing="1" w:line="240" w:lineRule="auto"/>
        <w:jc w:val="both"/>
        <w:rPr>
          <w:rFonts w:ascii="Times New Roman" w:eastAsia="Times New Roman" w:hAnsi="Times New Roman" w:cs="Times New Roman"/>
          <w:color w:val="FF0000"/>
          <w:sz w:val="24"/>
          <w:szCs w:val="24"/>
          <w:lang w:eastAsia="pt-BR"/>
        </w:rPr>
      </w:pPr>
      <w:r w:rsidRPr="00830111">
        <w:rPr>
          <w:rFonts w:ascii="Arial" w:eastAsia="Times New Roman" w:hAnsi="Arial" w:cs="Arial"/>
          <w:sz w:val="20"/>
          <w:szCs w:val="20"/>
          <w:lang w:eastAsia="pt-BR"/>
        </w:rPr>
        <w:t xml:space="preserve">A economia doméstica continua ainda muito fraca, com a demanda agregada reduzida e um nível de ociosidade elevado. Contudo, embora repletos de incertezas por todos os lados, os dados recentes de atividade e </w:t>
      </w:r>
      <w:proofErr w:type="gramStart"/>
      <w:r w:rsidRPr="00830111">
        <w:rPr>
          <w:rFonts w:ascii="Arial" w:eastAsia="Times New Roman" w:hAnsi="Arial" w:cs="Arial"/>
          <w:sz w:val="20"/>
          <w:szCs w:val="20"/>
          <w:lang w:eastAsia="pt-BR"/>
        </w:rPr>
        <w:t>demanda começam</w:t>
      </w:r>
      <w:proofErr w:type="gramEnd"/>
      <w:r w:rsidRPr="00830111">
        <w:rPr>
          <w:rFonts w:ascii="Arial" w:eastAsia="Times New Roman" w:hAnsi="Arial" w:cs="Arial"/>
          <w:sz w:val="20"/>
          <w:szCs w:val="20"/>
          <w:lang w:eastAsia="pt-BR"/>
        </w:rPr>
        <w:t xml:space="preserve"> a se consolidar e parece que a situação parou de piorar. Nada que nos afaste de um cenário ruim, contudo nos parece que já há luz no final do túnel, a depender da evolução do contágio. O cenário provável indica que a economia brasileira recuará na casa dos 6%, e </w:t>
      </w:r>
      <w:r w:rsidRPr="00830111">
        <w:rPr>
          <w:rFonts w:ascii="Arial" w:eastAsia="Times New Roman" w:hAnsi="Arial" w:cs="Arial"/>
          <w:sz w:val="20"/>
          <w:szCs w:val="20"/>
          <w:lang w:eastAsia="pt-BR"/>
        </w:rPr>
        <w:lastRenderedPageBreak/>
        <w:t>a taxa de desemprego progredirá mais alguns pontos, dado que o final do programa de manutenção do emprego e renda está próximo e forçará pequenos e médios empresários a rever seus negócios,</w:t>
      </w:r>
      <w:r w:rsidRPr="00B75C56">
        <w:rPr>
          <w:rFonts w:ascii="Arial" w:eastAsia="Times New Roman" w:hAnsi="Arial" w:cs="Arial"/>
          <w:color w:val="FF0000"/>
          <w:sz w:val="20"/>
          <w:szCs w:val="20"/>
          <w:lang w:eastAsia="pt-BR"/>
        </w:rPr>
        <w:t xml:space="preserve"> </w:t>
      </w:r>
      <w:r w:rsidRPr="005202A2">
        <w:rPr>
          <w:rFonts w:ascii="Arial" w:eastAsia="Times New Roman" w:hAnsi="Arial" w:cs="Arial"/>
          <w:sz w:val="20"/>
          <w:szCs w:val="20"/>
          <w:lang w:eastAsia="pt-BR"/>
        </w:rPr>
        <w:t xml:space="preserve">colocando assim mais pessoas na fila do desemprego. A boa notícia, caso retomemos aos rumos </w:t>
      </w:r>
      <w:r w:rsidRPr="005202A2">
        <w:rPr>
          <w:rFonts w:ascii="Arial" w:eastAsia="Times New Roman" w:hAnsi="Arial" w:cs="Arial"/>
          <w:sz w:val="20"/>
          <w:lang w:eastAsia="pt-BR"/>
        </w:rPr>
        <w:t>pré</w:t>
      </w:r>
      <w:r w:rsidRPr="005202A2">
        <w:rPr>
          <w:rFonts w:ascii="Arial" w:eastAsia="Times New Roman" w:hAnsi="Arial" w:cs="Arial"/>
          <w:sz w:val="20"/>
          <w:szCs w:val="20"/>
          <w:lang w:eastAsia="pt-BR"/>
        </w:rPr>
        <w:t>-pandemia, é que a reação que se prevê na atividade econômica iniciar já em meados do terceiro trimestre, avance e se consolide em 2021. Nessa hipótese, o mercado de trabalho reagirá à frente.</w:t>
      </w:r>
      <w:r w:rsidRPr="00B75C56">
        <w:rPr>
          <w:rFonts w:ascii="Arial" w:eastAsia="Times New Roman" w:hAnsi="Arial" w:cs="Arial"/>
          <w:color w:val="FF0000"/>
          <w:sz w:val="20"/>
          <w:szCs w:val="20"/>
          <w:lang w:eastAsia="pt-BR"/>
        </w:rPr>
        <w:t xml:space="preserve"> </w:t>
      </w:r>
    </w:p>
    <w:p w:rsidR="00B75C56" w:rsidRPr="005202A2" w:rsidRDefault="00B75C56" w:rsidP="005202A2">
      <w:pPr>
        <w:spacing w:before="240" w:after="100" w:afterAutospacing="1" w:line="240" w:lineRule="auto"/>
        <w:jc w:val="both"/>
        <w:rPr>
          <w:rFonts w:ascii="Times New Roman" w:eastAsia="Times New Roman" w:hAnsi="Times New Roman" w:cs="Times New Roman"/>
          <w:sz w:val="24"/>
          <w:szCs w:val="24"/>
          <w:lang w:eastAsia="pt-BR"/>
        </w:rPr>
      </w:pPr>
      <w:r w:rsidRPr="005202A2">
        <w:rPr>
          <w:rFonts w:ascii="Arial" w:eastAsia="Times New Roman" w:hAnsi="Arial" w:cs="Arial"/>
          <w:sz w:val="20"/>
          <w:szCs w:val="20"/>
          <w:lang w:eastAsia="pt-BR"/>
        </w:rPr>
        <w:t xml:space="preserve">Do lado fiscal, os efeitos da pandemia são devastadores. A disciplina fiscal foi abortada, e as previsões são de que o déficit primário atinja um número próximo dos R$ 800,0 bilhões em 2020, até certo ponto compreensível diante da situação. Entretanto, a sociedade (leia-se "instituições") terá que trabalhar duro para que possamos retornar à situação de equilíbrio fiscal, notadamente nas questões que envolvem as reformas que deverão tramitar no Congresso, com destaque para </w:t>
      </w:r>
      <w:r w:rsidR="005202A2" w:rsidRPr="005202A2">
        <w:rPr>
          <w:rFonts w:ascii="Arial" w:eastAsia="Times New Roman" w:hAnsi="Arial" w:cs="Arial"/>
          <w:sz w:val="20"/>
          <w:szCs w:val="20"/>
          <w:lang w:eastAsia="pt-BR"/>
        </w:rPr>
        <w:t>as reformas tributárias e administrativas</w:t>
      </w:r>
      <w:r w:rsidRPr="005202A2">
        <w:rPr>
          <w:rFonts w:ascii="Arial" w:eastAsia="Times New Roman" w:hAnsi="Arial" w:cs="Arial"/>
          <w:sz w:val="20"/>
          <w:szCs w:val="20"/>
          <w:lang w:eastAsia="pt-BR"/>
        </w:rPr>
        <w:t>. Caso contrário, estaremos sujeitos a dificuldades em nos financiar com eventual aumento dos prêmios solicitados pelos investidores para rolar a dívida mobiliária. No momento temos a vantagem das taxas de juros se situarem em patamares baixos, mas em um ambiente onde há risco de solvência é a situação passa a ser totalmente adversa. </w:t>
      </w:r>
    </w:p>
    <w:p w:rsidR="00B75C56" w:rsidRPr="005202A2" w:rsidRDefault="00B75C56" w:rsidP="005202A2">
      <w:pPr>
        <w:spacing w:before="240" w:after="100" w:afterAutospacing="1" w:line="240" w:lineRule="auto"/>
        <w:rPr>
          <w:rFonts w:ascii="Arial" w:eastAsia="Times New Roman" w:hAnsi="Arial" w:cs="Arial"/>
          <w:b/>
          <w:bCs/>
          <w:sz w:val="20"/>
          <w:szCs w:val="20"/>
          <w:lang w:eastAsia="pt-BR"/>
        </w:rPr>
      </w:pPr>
      <w:r w:rsidRPr="005202A2">
        <w:rPr>
          <w:rFonts w:ascii="Arial" w:eastAsia="Times New Roman" w:hAnsi="Arial" w:cs="Arial"/>
          <w:sz w:val="20"/>
          <w:szCs w:val="20"/>
          <w:lang w:eastAsia="pt-BR"/>
        </w:rPr>
        <w:t> </w:t>
      </w:r>
      <w:bookmarkStart w:id="11" w:name="_Toc20130596"/>
      <w:bookmarkStart w:id="12" w:name="_Toc490036545"/>
      <w:bookmarkStart w:id="13" w:name="_Toc496794731"/>
      <w:bookmarkStart w:id="14" w:name="_Toc496794732"/>
      <w:bookmarkStart w:id="15" w:name="_Toc496794733"/>
      <w:bookmarkStart w:id="16" w:name="_Toc496794734"/>
      <w:bookmarkStart w:id="17" w:name="_Toc496794735"/>
      <w:bookmarkStart w:id="18" w:name="_Toc496794736"/>
      <w:bookmarkStart w:id="19" w:name="_Toc496794737"/>
      <w:bookmarkStart w:id="20" w:name="_Toc496794738"/>
      <w:bookmarkStart w:id="21" w:name="_Toc496794739"/>
      <w:bookmarkStart w:id="22" w:name="_Toc496794740"/>
      <w:bookmarkStart w:id="23" w:name="_Toc496794741"/>
      <w:bookmarkStart w:id="24" w:name="_Toc496794742"/>
      <w:bookmarkStart w:id="25" w:name="_Toc496794743"/>
      <w:bookmarkStart w:id="26" w:name="_Toc496794744"/>
      <w:bookmarkStart w:id="27" w:name="_Toc496794745"/>
      <w:bookmarkStart w:id="28" w:name="_Toc496794746"/>
      <w:bookmarkStart w:id="29" w:name="_Toc496794747"/>
      <w:bookmarkStart w:id="30" w:name="_Toc496794748"/>
      <w:bookmarkStart w:id="31" w:name="_Toc496794749"/>
      <w:bookmarkStart w:id="32" w:name="_Toc496794750"/>
      <w:bookmarkStart w:id="33" w:name="_Toc496794751"/>
      <w:bookmarkStart w:id="34" w:name="_Toc496794752"/>
      <w:bookmarkStart w:id="35" w:name="_Toc496794753"/>
      <w:bookmarkStart w:id="36" w:name="_Toc496794754"/>
      <w:bookmarkStart w:id="37" w:name="_Toc496794755"/>
      <w:bookmarkStart w:id="38" w:name="_Toc496794756"/>
      <w:bookmarkStart w:id="39" w:name="_Toc496794757"/>
      <w:bookmarkStart w:id="40" w:name="_Toc496794758"/>
      <w:bookmarkStart w:id="41" w:name="_Toc496794759"/>
      <w:bookmarkStart w:id="42" w:name="_Toc496794760"/>
      <w:bookmarkStart w:id="43" w:name="_Toc496794761"/>
      <w:bookmarkStart w:id="44" w:name="_Toc496794762"/>
      <w:bookmarkStart w:id="45" w:name="_Toc496794763"/>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5202A2">
        <w:rPr>
          <w:rFonts w:ascii="Arial" w:eastAsia="Times New Roman" w:hAnsi="Arial" w:cs="Arial"/>
          <w:b/>
          <w:bCs/>
          <w:sz w:val="20"/>
          <w:szCs w:val="20"/>
          <w:lang w:eastAsia="pt-BR"/>
        </w:rPr>
        <w:t>4.4       EXPECTATIVAS DE MERCADO</w:t>
      </w:r>
    </w:p>
    <w:tbl>
      <w:tblPr>
        <w:tblW w:w="0" w:type="auto"/>
        <w:jc w:val="center"/>
        <w:tblCellMar>
          <w:left w:w="0" w:type="dxa"/>
          <w:right w:w="0" w:type="dxa"/>
        </w:tblCellMar>
        <w:tblLook w:val="04A0"/>
      </w:tblPr>
      <w:tblGrid>
        <w:gridCol w:w="4208"/>
        <w:gridCol w:w="1599"/>
        <w:gridCol w:w="1801"/>
      </w:tblGrid>
      <w:tr w:rsidR="00B75C56" w:rsidRPr="005202A2" w:rsidTr="00B75C56">
        <w:trPr>
          <w:trHeight w:val="454"/>
          <w:jc w:val="center"/>
        </w:trPr>
        <w:tc>
          <w:tcPr>
            <w:tcW w:w="4208" w:type="dxa"/>
            <w:tcBorders>
              <w:top w:val="single" w:sz="8" w:space="0" w:color="A5A5A5"/>
              <w:left w:val="nil"/>
              <w:bottom w:val="single" w:sz="8" w:space="0" w:color="A5A5A5"/>
              <w:right w:val="nil"/>
            </w:tcBorders>
            <w:noWrap/>
            <w:tcMar>
              <w:top w:w="0" w:type="dxa"/>
              <w:left w:w="70" w:type="dxa"/>
              <w:bottom w:w="0" w:type="dxa"/>
              <w:right w:w="70" w:type="dxa"/>
            </w:tcMar>
            <w:vAlign w:val="center"/>
            <w:hideMark/>
          </w:tcPr>
          <w:p w:rsidR="00B75C56" w:rsidRPr="005202A2" w:rsidRDefault="00B75C56" w:rsidP="00B75C56">
            <w:pPr>
              <w:spacing w:before="60" w:after="60" w:line="240" w:lineRule="auto"/>
              <w:jc w:val="center"/>
              <w:rPr>
                <w:rFonts w:ascii="Arial" w:eastAsia="Times New Roman" w:hAnsi="Arial" w:cs="Arial"/>
                <w:sz w:val="20"/>
                <w:szCs w:val="20"/>
                <w:lang w:eastAsia="pt-BR"/>
              </w:rPr>
            </w:pPr>
            <w:r w:rsidRPr="005202A2">
              <w:rPr>
                <w:rFonts w:ascii="Arial" w:eastAsia="Times New Roman" w:hAnsi="Arial" w:cs="Arial"/>
                <w:b/>
                <w:bCs/>
                <w:sz w:val="20"/>
                <w:szCs w:val="20"/>
                <w:lang w:eastAsia="pt-BR"/>
              </w:rPr>
              <w:t>Índices (Mediana Agregado)</w:t>
            </w:r>
          </w:p>
        </w:tc>
        <w:tc>
          <w:tcPr>
            <w:tcW w:w="1599" w:type="dxa"/>
            <w:tcBorders>
              <w:top w:val="single" w:sz="8" w:space="0" w:color="A5A5A5"/>
              <w:left w:val="nil"/>
              <w:bottom w:val="single" w:sz="8" w:space="0" w:color="A5A5A5"/>
              <w:right w:val="nil"/>
            </w:tcBorders>
            <w:noWrap/>
            <w:tcMar>
              <w:top w:w="0" w:type="dxa"/>
              <w:left w:w="70" w:type="dxa"/>
              <w:bottom w:w="0" w:type="dxa"/>
              <w:right w:w="70" w:type="dxa"/>
            </w:tcMar>
            <w:vAlign w:val="center"/>
            <w:hideMark/>
          </w:tcPr>
          <w:p w:rsidR="00B75C56" w:rsidRPr="005202A2" w:rsidRDefault="00B75C56" w:rsidP="00B75C56">
            <w:pPr>
              <w:spacing w:before="60" w:after="60" w:line="240" w:lineRule="auto"/>
              <w:jc w:val="center"/>
              <w:rPr>
                <w:rFonts w:ascii="Arial" w:eastAsia="Times New Roman" w:hAnsi="Arial" w:cs="Arial"/>
                <w:sz w:val="20"/>
                <w:szCs w:val="20"/>
                <w:lang w:eastAsia="pt-BR"/>
              </w:rPr>
            </w:pPr>
            <w:r w:rsidRPr="005202A2">
              <w:rPr>
                <w:rFonts w:ascii="Arial" w:eastAsia="Times New Roman" w:hAnsi="Arial" w:cs="Arial"/>
                <w:b/>
                <w:bCs/>
                <w:sz w:val="20"/>
                <w:szCs w:val="20"/>
                <w:lang w:eastAsia="pt-BR"/>
              </w:rPr>
              <w:t>2020</w:t>
            </w:r>
          </w:p>
        </w:tc>
        <w:tc>
          <w:tcPr>
            <w:tcW w:w="1801" w:type="dxa"/>
            <w:tcBorders>
              <w:top w:val="single" w:sz="8" w:space="0" w:color="A5A5A5"/>
              <w:left w:val="nil"/>
              <w:bottom w:val="single" w:sz="8" w:space="0" w:color="A5A5A5"/>
              <w:right w:val="nil"/>
            </w:tcBorders>
            <w:noWrap/>
            <w:tcMar>
              <w:top w:w="0" w:type="dxa"/>
              <w:left w:w="70" w:type="dxa"/>
              <w:bottom w:w="0" w:type="dxa"/>
              <w:right w:w="70" w:type="dxa"/>
            </w:tcMar>
            <w:vAlign w:val="center"/>
            <w:hideMark/>
          </w:tcPr>
          <w:p w:rsidR="00B75C56" w:rsidRPr="005202A2" w:rsidRDefault="00B75C56" w:rsidP="00B75C56">
            <w:pPr>
              <w:spacing w:before="60" w:after="60" w:line="240" w:lineRule="auto"/>
              <w:jc w:val="center"/>
              <w:rPr>
                <w:rFonts w:ascii="Arial" w:eastAsia="Times New Roman" w:hAnsi="Arial" w:cs="Arial"/>
                <w:sz w:val="20"/>
                <w:szCs w:val="20"/>
                <w:lang w:eastAsia="pt-BR"/>
              </w:rPr>
            </w:pPr>
            <w:r w:rsidRPr="005202A2">
              <w:rPr>
                <w:rFonts w:ascii="Arial" w:eastAsia="Times New Roman" w:hAnsi="Arial" w:cs="Arial"/>
                <w:b/>
                <w:bCs/>
                <w:sz w:val="20"/>
                <w:szCs w:val="20"/>
                <w:lang w:eastAsia="pt-BR"/>
              </w:rPr>
              <w:t>2021</w:t>
            </w:r>
          </w:p>
        </w:tc>
      </w:tr>
      <w:tr w:rsidR="00B75C56" w:rsidRPr="005202A2" w:rsidTr="00B75C56">
        <w:trPr>
          <w:trHeight w:val="454"/>
          <w:jc w:val="center"/>
        </w:trPr>
        <w:tc>
          <w:tcPr>
            <w:tcW w:w="4208" w:type="dxa"/>
            <w:shd w:val="clear" w:color="auto" w:fill="EDEDED"/>
            <w:noWrap/>
            <w:tcMar>
              <w:top w:w="0" w:type="dxa"/>
              <w:left w:w="70" w:type="dxa"/>
              <w:bottom w:w="0" w:type="dxa"/>
              <w:right w:w="70" w:type="dxa"/>
            </w:tcMar>
            <w:hideMark/>
          </w:tcPr>
          <w:p w:rsidR="00B75C56" w:rsidRPr="005202A2" w:rsidRDefault="00B75C56" w:rsidP="00B75C56">
            <w:pPr>
              <w:spacing w:before="60" w:after="60" w:line="240" w:lineRule="auto"/>
              <w:rPr>
                <w:rFonts w:ascii="Arial" w:eastAsia="Times New Roman" w:hAnsi="Arial" w:cs="Arial"/>
                <w:sz w:val="20"/>
                <w:szCs w:val="20"/>
                <w:lang w:eastAsia="pt-BR"/>
              </w:rPr>
            </w:pPr>
            <w:r w:rsidRPr="005202A2">
              <w:rPr>
                <w:rFonts w:ascii="Arial" w:eastAsia="Times New Roman" w:hAnsi="Arial" w:cs="Arial"/>
                <w:sz w:val="20"/>
                <w:szCs w:val="20"/>
                <w:lang w:eastAsia="pt-BR"/>
              </w:rPr>
              <w:t>IPCA (%)</w:t>
            </w:r>
          </w:p>
        </w:tc>
        <w:tc>
          <w:tcPr>
            <w:tcW w:w="1599" w:type="dxa"/>
            <w:shd w:val="clear" w:color="auto" w:fill="EDEDED"/>
            <w:noWrap/>
            <w:tcMar>
              <w:top w:w="0" w:type="dxa"/>
              <w:left w:w="70" w:type="dxa"/>
              <w:bottom w:w="0" w:type="dxa"/>
              <w:right w:w="70" w:type="dxa"/>
            </w:tcMar>
            <w:hideMark/>
          </w:tcPr>
          <w:p w:rsidR="00B75C56" w:rsidRPr="005202A2" w:rsidRDefault="00B75C56" w:rsidP="00B75C56">
            <w:pPr>
              <w:spacing w:before="60" w:after="60" w:line="240" w:lineRule="auto"/>
              <w:jc w:val="center"/>
              <w:rPr>
                <w:rFonts w:ascii="Arial" w:eastAsia="Times New Roman" w:hAnsi="Arial" w:cs="Arial"/>
                <w:sz w:val="20"/>
                <w:szCs w:val="20"/>
                <w:lang w:eastAsia="pt-BR"/>
              </w:rPr>
            </w:pPr>
            <w:r w:rsidRPr="005202A2">
              <w:rPr>
                <w:rFonts w:ascii="Arial" w:eastAsia="Times New Roman" w:hAnsi="Arial" w:cs="Arial"/>
                <w:sz w:val="20"/>
                <w:szCs w:val="20"/>
                <w:lang w:eastAsia="pt-BR"/>
              </w:rPr>
              <w:t>1,78</w:t>
            </w:r>
          </w:p>
        </w:tc>
        <w:tc>
          <w:tcPr>
            <w:tcW w:w="1801" w:type="dxa"/>
            <w:shd w:val="clear" w:color="auto" w:fill="EDEDED"/>
            <w:noWrap/>
            <w:tcMar>
              <w:top w:w="0" w:type="dxa"/>
              <w:left w:w="70" w:type="dxa"/>
              <w:bottom w:w="0" w:type="dxa"/>
              <w:right w:w="70" w:type="dxa"/>
            </w:tcMar>
            <w:hideMark/>
          </w:tcPr>
          <w:p w:rsidR="00B75C56" w:rsidRPr="005202A2" w:rsidRDefault="00B75C56" w:rsidP="00B75C56">
            <w:pPr>
              <w:spacing w:before="60" w:after="60" w:line="240" w:lineRule="auto"/>
              <w:jc w:val="center"/>
              <w:rPr>
                <w:rFonts w:ascii="Arial" w:eastAsia="Times New Roman" w:hAnsi="Arial" w:cs="Arial"/>
                <w:sz w:val="20"/>
                <w:szCs w:val="20"/>
                <w:lang w:eastAsia="pt-BR"/>
              </w:rPr>
            </w:pPr>
            <w:r w:rsidRPr="005202A2">
              <w:rPr>
                <w:rFonts w:ascii="Arial" w:eastAsia="Times New Roman" w:hAnsi="Arial" w:cs="Arial"/>
                <w:sz w:val="20"/>
                <w:szCs w:val="20"/>
                <w:lang w:eastAsia="pt-BR"/>
              </w:rPr>
              <w:t>3,00</w:t>
            </w:r>
          </w:p>
        </w:tc>
      </w:tr>
      <w:tr w:rsidR="00B75C56" w:rsidRPr="005202A2" w:rsidTr="00B75C56">
        <w:trPr>
          <w:trHeight w:val="454"/>
          <w:jc w:val="center"/>
        </w:trPr>
        <w:tc>
          <w:tcPr>
            <w:tcW w:w="4208" w:type="dxa"/>
            <w:noWrap/>
            <w:tcMar>
              <w:top w:w="0" w:type="dxa"/>
              <w:left w:w="70" w:type="dxa"/>
              <w:bottom w:w="0" w:type="dxa"/>
              <w:right w:w="70" w:type="dxa"/>
            </w:tcMar>
            <w:hideMark/>
          </w:tcPr>
          <w:p w:rsidR="00B75C56" w:rsidRPr="005202A2" w:rsidRDefault="00B75C56" w:rsidP="00B75C56">
            <w:pPr>
              <w:spacing w:before="60" w:after="60" w:line="240" w:lineRule="auto"/>
              <w:rPr>
                <w:rFonts w:ascii="Arial" w:eastAsia="Times New Roman" w:hAnsi="Arial" w:cs="Arial"/>
                <w:sz w:val="20"/>
                <w:szCs w:val="20"/>
                <w:lang w:eastAsia="pt-BR"/>
              </w:rPr>
            </w:pPr>
            <w:r w:rsidRPr="005202A2">
              <w:rPr>
                <w:rFonts w:ascii="Arial" w:eastAsia="Times New Roman" w:hAnsi="Arial" w:cs="Arial"/>
                <w:sz w:val="20"/>
                <w:szCs w:val="20"/>
                <w:lang w:eastAsia="pt-BR"/>
              </w:rPr>
              <w:t>INPC (%)</w:t>
            </w:r>
          </w:p>
        </w:tc>
        <w:tc>
          <w:tcPr>
            <w:tcW w:w="1599" w:type="dxa"/>
            <w:noWrap/>
            <w:tcMar>
              <w:top w:w="0" w:type="dxa"/>
              <w:left w:w="70" w:type="dxa"/>
              <w:bottom w:w="0" w:type="dxa"/>
              <w:right w:w="70" w:type="dxa"/>
            </w:tcMar>
            <w:hideMark/>
          </w:tcPr>
          <w:p w:rsidR="00B75C56" w:rsidRPr="005202A2" w:rsidRDefault="00B75C56" w:rsidP="00B75C56">
            <w:pPr>
              <w:spacing w:before="60" w:after="60" w:line="240" w:lineRule="auto"/>
              <w:jc w:val="center"/>
              <w:rPr>
                <w:rFonts w:ascii="Arial" w:eastAsia="Times New Roman" w:hAnsi="Arial" w:cs="Arial"/>
                <w:sz w:val="20"/>
                <w:szCs w:val="20"/>
                <w:lang w:eastAsia="pt-BR"/>
              </w:rPr>
            </w:pPr>
            <w:r w:rsidRPr="005202A2">
              <w:rPr>
                <w:rFonts w:ascii="Arial" w:eastAsia="Times New Roman" w:hAnsi="Arial" w:cs="Arial"/>
                <w:sz w:val="20"/>
                <w:szCs w:val="20"/>
                <w:lang w:eastAsia="pt-BR"/>
              </w:rPr>
              <w:t>2,94</w:t>
            </w:r>
          </w:p>
        </w:tc>
        <w:tc>
          <w:tcPr>
            <w:tcW w:w="1801" w:type="dxa"/>
            <w:noWrap/>
            <w:tcMar>
              <w:top w:w="0" w:type="dxa"/>
              <w:left w:w="70" w:type="dxa"/>
              <w:bottom w:w="0" w:type="dxa"/>
              <w:right w:w="70" w:type="dxa"/>
            </w:tcMar>
            <w:hideMark/>
          </w:tcPr>
          <w:p w:rsidR="00B75C56" w:rsidRPr="005202A2" w:rsidRDefault="00B75C56" w:rsidP="00B75C56">
            <w:pPr>
              <w:spacing w:before="60" w:after="60" w:line="240" w:lineRule="auto"/>
              <w:jc w:val="center"/>
              <w:rPr>
                <w:rFonts w:ascii="Arial" w:eastAsia="Times New Roman" w:hAnsi="Arial" w:cs="Arial"/>
                <w:sz w:val="20"/>
                <w:szCs w:val="20"/>
                <w:lang w:eastAsia="pt-BR"/>
              </w:rPr>
            </w:pPr>
            <w:r w:rsidRPr="005202A2">
              <w:rPr>
                <w:rFonts w:ascii="Arial" w:eastAsia="Times New Roman" w:hAnsi="Arial" w:cs="Arial"/>
                <w:sz w:val="20"/>
                <w:szCs w:val="20"/>
                <w:lang w:eastAsia="pt-BR"/>
              </w:rPr>
              <w:t>3,41</w:t>
            </w:r>
          </w:p>
        </w:tc>
      </w:tr>
      <w:tr w:rsidR="00B75C56" w:rsidRPr="005202A2" w:rsidTr="00B75C56">
        <w:trPr>
          <w:trHeight w:val="454"/>
          <w:jc w:val="center"/>
        </w:trPr>
        <w:tc>
          <w:tcPr>
            <w:tcW w:w="4208" w:type="dxa"/>
            <w:shd w:val="clear" w:color="auto" w:fill="EDEDED"/>
            <w:noWrap/>
            <w:tcMar>
              <w:top w:w="0" w:type="dxa"/>
              <w:left w:w="70" w:type="dxa"/>
              <w:bottom w:w="0" w:type="dxa"/>
              <w:right w:w="70" w:type="dxa"/>
            </w:tcMar>
            <w:hideMark/>
          </w:tcPr>
          <w:p w:rsidR="00B75C56" w:rsidRPr="005202A2" w:rsidRDefault="00B75C56" w:rsidP="00B75C56">
            <w:pPr>
              <w:spacing w:before="60" w:after="60" w:line="240" w:lineRule="auto"/>
              <w:rPr>
                <w:rFonts w:ascii="Arial" w:eastAsia="Times New Roman" w:hAnsi="Arial" w:cs="Arial"/>
                <w:sz w:val="20"/>
                <w:szCs w:val="20"/>
                <w:lang w:eastAsia="pt-BR"/>
              </w:rPr>
            </w:pPr>
            <w:r w:rsidRPr="005202A2">
              <w:rPr>
                <w:rFonts w:ascii="Arial" w:eastAsia="Times New Roman" w:hAnsi="Arial" w:cs="Arial"/>
                <w:sz w:val="20"/>
                <w:szCs w:val="20"/>
                <w:lang w:eastAsia="pt-BR"/>
              </w:rPr>
              <w:t>IGP-M (%)</w:t>
            </w:r>
          </w:p>
        </w:tc>
        <w:tc>
          <w:tcPr>
            <w:tcW w:w="1599" w:type="dxa"/>
            <w:shd w:val="clear" w:color="auto" w:fill="EDEDED"/>
            <w:noWrap/>
            <w:tcMar>
              <w:top w:w="0" w:type="dxa"/>
              <w:left w:w="70" w:type="dxa"/>
              <w:bottom w:w="0" w:type="dxa"/>
              <w:right w:w="70" w:type="dxa"/>
            </w:tcMar>
            <w:hideMark/>
          </w:tcPr>
          <w:p w:rsidR="00B75C56" w:rsidRPr="005202A2" w:rsidRDefault="00B75C56" w:rsidP="00B75C56">
            <w:pPr>
              <w:spacing w:before="60" w:after="60" w:line="240" w:lineRule="auto"/>
              <w:jc w:val="center"/>
              <w:rPr>
                <w:rFonts w:ascii="Arial" w:eastAsia="Times New Roman" w:hAnsi="Arial" w:cs="Arial"/>
                <w:sz w:val="20"/>
                <w:szCs w:val="20"/>
                <w:lang w:eastAsia="pt-BR"/>
              </w:rPr>
            </w:pPr>
            <w:r w:rsidRPr="005202A2">
              <w:rPr>
                <w:rFonts w:ascii="Arial" w:eastAsia="Times New Roman" w:hAnsi="Arial" w:cs="Arial"/>
                <w:sz w:val="20"/>
                <w:szCs w:val="20"/>
                <w:lang w:eastAsia="pt-BR"/>
              </w:rPr>
              <w:t>11,72</w:t>
            </w:r>
          </w:p>
        </w:tc>
        <w:tc>
          <w:tcPr>
            <w:tcW w:w="1801" w:type="dxa"/>
            <w:shd w:val="clear" w:color="auto" w:fill="EDEDED"/>
            <w:noWrap/>
            <w:tcMar>
              <w:top w:w="0" w:type="dxa"/>
              <w:left w:w="70" w:type="dxa"/>
              <w:bottom w:w="0" w:type="dxa"/>
              <w:right w:w="70" w:type="dxa"/>
            </w:tcMar>
            <w:hideMark/>
          </w:tcPr>
          <w:p w:rsidR="00B75C56" w:rsidRPr="005202A2" w:rsidRDefault="00B75C56" w:rsidP="00B75C56">
            <w:pPr>
              <w:spacing w:before="60" w:after="60" w:line="240" w:lineRule="auto"/>
              <w:jc w:val="center"/>
              <w:rPr>
                <w:rFonts w:ascii="Arial" w:eastAsia="Times New Roman" w:hAnsi="Arial" w:cs="Arial"/>
                <w:sz w:val="20"/>
                <w:szCs w:val="20"/>
                <w:lang w:eastAsia="pt-BR"/>
              </w:rPr>
            </w:pPr>
            <w:r w:rsidRPr="005202A2">
              <w:rPr>
                <w:rFonts w:ascii="Arial" w:eastAsia="Times New Roman" w:hAnsi="Arial" w:cs="Arial"/>
                <w:sz w:val="20"/>
                <w:szCs w:val="20"/>
                <w:lang w:eastAsia="pt-BR"/>
              </w:rPr>
              <w:t>4,03</w:t>
            </w:r>
          </w:p>
        </w:tc>
      </w:tr>
      <w:tr w:rsidR="00B75C56" w:rsidRPr="005202A2" w:rsidTr="00B75C56">
        <w:trPr>
          <w:trHeight w:val="454"/>
          <w:jc w:val="center"/>
        </w:trPr>
        <w:tc>
          <w:tcPr>
            <w:tcW w:w="4208" w:type="dxa"/>
            <w:noWrap/>
            <w:tcMar>
              <w:top w:w="0" w:type="dxa"/>
              <w:left w:w="70" w:type="dxa"/>
              <w:bottom w:w="0" w:type="dxa"/>
              <w:right w:w="70" w:type="dxa"/>
            </w:tcMar>
            <w:hideMark/>
          </w:tcPr>
          <w:p w:rsidR="00B75C56" w:rsidRPr="005202A2" w:rsidRDefault="00B75C56" w:rsidP="00B75C56">
            <w:pPr>
              <w:spacing w:before="60" w:after="60" w:line="240" w:lineRule="auto"/>
              <w:rPr>
                <w:rFonts w:ascii="Arial" w:eastAsia="Times New Roman" w:hAnsi="Arial" w:cs="Arial"/>
                <w:sz w:val="20"/>
                <w:szCs w:val="20"/>
                <w:lang w:eastAsia="pt-BR"/>
              </w:rPr>
            </w:pPr>
            <w:r w:rsidRPr="005202A2">
              <w:rPr>
                <w:rFonts w:ascii="Arial" w:eastAsia="Times New Roman" w:hAnsi="Arial" w:cs="Arial"/>
                <w:sz w:val="20"/>
                <w:szCs w:val="20"/>
                <w:lang w:eastAsia="pt-BR"/>
              </w:rPr>
              <w:t>Taxa de Câmbio (R$/US$)</w:t>
            </w:r>
          </w:p>
        </w:tc>
        <w:tc>
          <w:tcPr>
            <w:tcW w:w="1599" w:type="dxa"/>
            <w:noWrap/>
            <w:tcMar>
              <w:top w:w="0" w:type="dxa"/>
              <w:left w:w="70" w:type="dxa"/>
              <w:bottom w:w="0" w:type="dxa"/>
              <w:right w:w="70" w:type="dxa"/>
            </w:tcMar>
            <w:hideMark/>
          </w:tcPr>
          <w:p w:rsidR="00B75C56" w:rsidRPr="005202A2" w:rsidRDefault="00B75C56" w:rsidP="00B75C56">
            <w:pPr>
              <w:spacing w:before="60" w:after="60" w:line="240" w:lineRule="auto"/>
              <w:jc w:val="center"/>
              <w:rPr>
                <w:rFonts w:ascii="Arial" w:eastAsia="Times New Roman" w:hAnsi="Arial" w:cs="Arial"/>
                <w:sz w:val="20"/>
                <w:szCs w:val="20"/>
                <w:lang w:eastAsia="pt-BR"/>
              </w:rPr>
            </w:pPr>
            <w:r w:rsidRPr="005202A2">
              <w:rPr>
                <w:rFonts w:ascii="Arial" w:eastAsia="Times New Roman" w:hAnsi="Arial" w:cs="Arial"/>
                <w:sz w:val="20"/>
                <w:szCs w:val="20"/>
                <w:lang w:eastAsia="pt-BR"/>
              </w:rPr>
              <w:t>5,25</w:t>
            </w:r>
          </w:p>
        </w:tc>
        <w:tc>
          <w:tcPr>
            <w:tcW w:w="1801" w:type="dxa"/>
            <w:noWrap/>
            <w:tcMar>
              <w:top w:w="0" w:type="dxa"/>
              <w:left w:w="70" w:type="dxa"/>
              <w:bottom w:w="0" w:type="dxa"/>
              <w:right w:w="70" w:type="dxa"/>
            </w:tcMar>
            <w:hideMark/>
          </w:tcPr>
          <w:p w:rsidR="00B75C56" w:rsidRPr="005202A2" w:rsidRDefault="00B75C56" w:rsidP="00B75C56">
            <w:pPr>
              <w:spacing w:before="60" w:after="60" w:line="240" w:lineRule="auto"/>
              <w:jc w:val="center"/>
              <w:rPr>
                <w:rFonts w:ascii="Arial" w:eastAsia="Times New Roman" w:hAnsi="Arial" w:cs="Arial"/>
                <w:sz w:val="20"/>
                <w:szCs w:val="20"/>
                <w:lang w:eastAsia="pt-BR"/>
              </w:rPr>
            </w:pPr>
            <w:r w:rsidRPr="005202A2">
              <w:rPr>
                <w:rFonts w:ascii="Arial" w:eastAsia="Times New Roman" w:hAnsi="Arial" w:cs="Arial"/>
                <w:sz w:val="20"/>
                <w:szCs w:val="20"/>
                <w:lang w:eastAsia="pt-BR"/>
              </w:rPr>
              <w:t>5,00</w:t>
            </w:r>
          </w:p>
        </w:tc>
      </w:tr>
      <w:tr w:rsidR="00B75C56" w:rsidRPr="005202A2" w:rsidTr="00B75C56">
        <w:trPr>
          <w:trHeight w:val="454"/>
          <w:jc w:val="center"/>
        </w:trPr>
        <w:tc>
          <w:tcPr>
            <w:tcW w:w="4208" w:type="dxa"/>
            <w:shd w:val="clear" w:color="auto" w:fill="EDEDED"/>
            <w:noWrap/>
            <w:tcMar>
              <w:top w:w="0" w:type="dxa"/>
              <w:left w:w="70" w:type="dxa"/>
              <w:bottom w:w="0" w:type="dxa"/>
              <w:right w:w="70" w:type="dxa"/>
            </w:tcMar>
            <w:hideMark/>
          </w:tcPr>
          <w:p w:rsidR="00B75C56" w:rsidRPr="005202A2" w:rsidRDefault="00B75C56" w:rsidP="00B75C56">
            <w:pPr>
              <w:spacing w:before="60" w:after="60" w:line="240" w:lineRule="auto"/>
              <w:rPr>
                <w:rFonts w:ascii="Arial" w:eastAsia="Times New Roman" w:hAnsi="Arial" w:cs="Arial"/>
                <w:sz w:val="20"/>
                <w:szCs w:val="20"/>
                <w:lang w:eastAsia="pt-BR"/>
              </w:rPr>
            </w:pPr>
            <w:r w:rsidRPr="005202A2">
              <w:rPr>
                <w:rFonts w:ascii="Arial" w:eastAsia="Times New Roman" w:hAnsi="Arial" w:cs="Arial"/>
                <w:sz w:val="20"/>
                <w:szCs w:val="20"/>
                <w:lang w:eastAsia="pt-BR"/>
              </w:rPr>
              <w:t xml:space="preserve">Meta Taxa </w:t>
            </w:r>
            <w:proofErr w:type="spellStart"/>
            <w:r w:rsidRPr="005202A2">
              <w:rPr>
                <w:rFonts w:ascii="Arial" w:eastAsia="Times New Roman" w:hAnsi="Arial" w:cs="Arial"/>
                <w:sz w:val="20"/>
                <w:szCs w:val="20"/>
                <w:lang w:eastAsia="pt-BR"/>
              </w:rPr>
              <w:t>Selic</w:t>
            </w:r>
            <w:proofErr w:type="spellEnd"/>
            <w:r w:rsidRPr="005202A2">
              <w:rPr>
                <w:rFonts w:ascii="Arial" w:eastAsia="Times New Roman" w:hAnsi="Arial" w:cs="Arial"/>
                <w:sz w:val="20"/>
                <w:szCs w:val="20"/>
                <w:lang w:eastAsia="pt-BR"/>
              </w:rPr>
              <w:t xml:space="preserve"> (%</w:t>
            </w:r>
            <w:proofErr w:type="spellStart"/>
            <w:r w:rsidRPr="005202A2">
              <w:rPr>
                <w:rFonts w:ascii="Arial" w:eastAsia="Times New Roman" w:hAnsi="Arial" w:cs="Arial"/>
                <w:sz w:val="20"/>
                <w:szCs w:val="20"/>
                <w:lang w:eastAsia="pt-BR"/>
              </w:rPr>
              <w:t>a.a.</w:t>
            </w:r>
            <w:proofErr w:type="spellEnd"/>
            <w:r w:rsidRPr="005202A2">
              <w:rPr>
                <w:rFonts w:ascii="Arial" w:eastAsia="Times New Roman" w:hAnsi="Arial" w:cs="Arial"/>
                <w:sz w:val="20"/>
                <w:szCs w:val="20"/>
                <w:lang w:eastAsia="pt-BR"/>
              </w:rPr>
              <w:t>)</w:t>
            </w:r>
          </w:p>
        </w:tc>
        <w:tc>
          <w:tcPr>
            <w:tcW w:w="1599" w:type="dxa"/>
            <w:shd w:val="clear" w:color="auto" w:fill="EDEDED"/>
            <w:noWrap/>
            <w:tcMar>
              <w:top w:w="0" w:type="dxa"/>
              <w:left w:w="70" w:type="dxa"/>
              <w:bottom w:w="0" w:type="dxa"/>
              <w:right w:w="70" w:type="dxa"/>
            </w:tcMar>
            <w:hideMark/>
          </w:tcPr>
          <w:p w:rsidR="00B75C56" w:rsidRPr="005202A2" w:rsidRDefault="00B75C56" w:rsidP="00B75C56">
            <w:pPr>
              <w:spacing w:before="60" w:after="60" w:line="240" w:lineRule="auto"/>
              <w:jc w:val="center"/>
              <w:rPr>
                <w:rFonts w:ascii="Arial" w:eastAsia="Times New Roman" w:hAnsi="Arial" w:cs="Arial"/>
                <w:sz w:val="20"/>
                <w:szCs w:val="20"/>
                <w:lang w:eastAsia="pt-BR"/>
              </w:rPr>
            </w:pPr>
            <w:r w:rsidRPr="005202A2">
              <w:rPr>
                <w:rFonts w:ascii="Arial" w:eastAsia="Times New Roman" w:hAnsi="Arial" w:cs="Arial"/>
                <w:sz w:val="20"/>
                <w:szCs w:val="20"/>
                <w:lang w:eastAsia="pt-BR"/>
              </w:rPr>
              <w:t>2,00</w:t>
            </w:r>
          </w:p>
        </w:tc>
        <w:tc>
          <w:tcPr>
            <w:tcW w:w="1801" w:type="dxa"/>
            <w:shd w:val="clear" w:color="auto" w:fill="EDEDED"/>
            <w:noWrap/>
            <w:tcMar>
              <w:top w:w="0" w:type="dxa"/>
              <w:left w:w="70" w:type="dxa"/>
              <w:bottom w:w="0" w:type="dxa"/>
              <w:right w:w="70" w:type="dxa"/>
            </w:tcMar>
            <w:hideMark/>
          </w:tcPr>
          <w:p w:rsidR="00B75C56" w:rsidRPr="005202A2" w:rsidRDefault="00B75C56" w:rsidP="00B75C56">
            <w:pPr>
              <w:spacing w:before="60" w:after="60" w:line="240" w:lineRule="auto"/>
              <w:jc w:val="center"/>
              <w:rPr>
                <w:rFonts w:ascii="Arial" w:eastAsia="Times New Roman" w:hAnsi="Arial" w:cs="Arial"/>
                <w:sz w:val="20"/>
                <w:szCs w:val="20"/>
                <w:lang w:eastAsia="pt-BR"/>
              </w:rPr>
            </w:pPr>
            <w:r w:rsidRPr="005202A2">
              <w:rPr>
                <w:rFonts w:ascii="Arial" w:eastAsia="Times New Roman" w:hAnsi="Arial" w:cs="Arial"/>
                <w:sz w:val="20"/>
                <w:szCs w:val="20"/>
                <w:lang w:eastAsia="pt-BR"/>
              </w:rPr>
              <w:t>2,88</w:t>
            </w:r>
          </w:p>
        </w:tc>
      </w:tr>
      <w:tr w:rsidR="00B75C56" w:rsidRPr="005202A2" w:rsidTr="00B75C56">
        <w:trPr>
          <w:trHeight w:val="454"/>
          <w:jc w:val="center"/>
        </w:trPr>
        <w:tc>
          <w:tcPr>
            <w:tcW w:w="4208" w:type="dxa"/>
            <w:noWrap/>
            <w:tcMar>
              <w:top w:w="0" w:type="dxa"/>
              <w:left w:w="70" w:type="dxa"/>
              <w:bottom w:w="0" w:type="dxa"/>
              <w:right w:w="70" w:type="dxa"/>
            </w:tcMar>
            <w:hideMark/>
          </w:tcPr>
          <w:p w:rsidR="00B75C56" w:rsidRPr="005202A2" w:rsidRDefault="00B75C56" w:rsidP="00B75C56">
            <w:pPr>
              <w:spacing w:before="60" w:after="60" w:line="240" w:lineRule="auto"/>
              <w:rPr>
                <w:rFonts w:ascii="Arial" w:eastAsia="Times New Roman" w:hAnsi="Arial" w:cs="Arial"/>
                <w:sz w:val="20"/>
                <w:szCs w:val="20"/>
                <w:lang w:eastAsia="pt-BR"/>
              </w:rPr>
            </w:pPr>
            <w:proofErr w:type="gramStart"/>
            <w:r w:rsidRPr="005202A2">
              <w:rPr>
                <w:rFonts w:ascii="Arial" w:eastAsia="Times New Roman" w:hAnsi="Arial" w:cs="Arial"/>
                <w:sz w:val="20"/>
                <w:szCs w:val="20"/>
                <w:lang w:eastAsia="pt-BR"/>
              </w:rPr>
              <w:t>Investimentos Direto no País</w:t>
            </w:r>
            <w:proofErr w:type="gramEnd"/>
            <w:r w:rsidRPr="005202A2">
              <w:rPr>
                <w:rFonts w:ascii="Arial" w:eastAsia="Times New Roman" w:hAnsi="Arial" w:cs="Arial"/>
                <w:sz w:val="20"/>
                <w:szCs w:val="20"/>
                <w:lang w:eastAsia="pt-BR"/>
              </w:rPr>
              <w:t xml:space="preserve"> (US$ bilhões)</w:t>
            </w:r>
          </w:p>
        </w:tc>
        <w:tc>
          <w:tcPr>
            <w:tcW w:w="1599" w:type="dxa"/>
            <w:noWrap/>
            <w:tcMar>
              <w:top w:w="0" w:type="dxa"/>
              <w:left w:w="70" w:type="dxa"/>
              <w:bottom w:w="0" w:type="dxa"/>
              <w:right w:w="70" w:type="dxa"/>
            </w:tcMar>
            <w:hideMark/>
          </w:tcPr>
          <w:p w:rsidR="00B75C56" w:rsidRPr="005202A2" w:rsidRDefault="00B75C56" w:rsidP="00B75C56">
            <w:pPr>
              <w:spacing w:before="60" w:after="60" w:line="240" w:lineRule="auto"/>
              <w:jc w:val="center"/>
              <w:rPr>
                <w:rFonts w:ascii="Arial" w:eastAsia="Times New Roman" w:hAnsi="Arial" w:cs="Arial"/>
                <w:sz w:val="20"/>
                <w:szCs w:val="20"/>
                <w:lang w:eastAsia="pt-BR"/>
              </w:rPr>
            </w:pPr>
            <w:r w:rsidRPr="005202A2">
              <w:rPr>
                <w:rFonts w:ascii="Arial" w:eastAsia="Times New Roman" w:hAnsi="Arial" w:cs="Arial"/>
                <w:sz w:val="20"/>
                <w:szCs w:val="20"/>
                <w:lang w:eastAsia="pt-BR"/>
              </w:rPr>
              <w:t>55,00</w:t>
            </w:r>
          </w:p>
        </w:tc>
        <w:tc>
          <w:tcPr>
            <w:tcW w:w="1801" w:type="dxa"/>
            <w:noWrap/>
            <w:tcMar>
              <w:top w:w="0" w:type="dxa"/>
              <w:left w:w="70" w:type="dxa"/>
              <w:bottom w:w="0" w:type="dxa"/>
              <w:right w:w="70" w:type="dxa"/>
            </w:tcMar>
            <w:hideMark/>
          </w:tcPr>
          <w:p w:rsidR="00B75C56" w:rsidRPr="005202A2" w:rsidRDefault="00B75C56" w:rsidP="00B75C56">
            <w:pPr>
              <w:spacing w:before="60" w:after="60" w:line="240" w:lineRule="auto"/>
              <w:jc w:val="center"/>
              <w:rPr>
                <w:rFonts w:ascii="Arial" w:eastAsia="Times New Roman" w:hAnsi="Arial" w:cs="Arial"/>
                <w:sz w:val="20"/>
                <w:szCs w:val="20"/>
                <w:lang w:eastAsia="pt-BR"/>
              </w:rPr>
            </w:pPr>
            <w:r w:rsidRPr="005202A2">
              <w:rPr>
                <w:rFonts w:ascii="Arial" w:eastAsia="Times New Roman" w:hAnsi="Arial" w:cs="Arial"/>
                <w:sz w:val="20"/>
                <w:szCs w:val="20"/>
                <w:lang w:eastAsia="pt-BR"/>
              </w:rPr>
              <w:t>65,48</w:t>
            </w:r>
          </w:p>
        </w:tc>
      </w:tr>
      <w:tr w:rsidR="00B75C56" w:rsidRPr="005202A2" w:rsidTr="00B75C56">
        <w:trPr>
          <w:trHeight w:val="454"/>
          <w:jc w:val="center"/>
        </w:trPr>
        <w:tc>
          <w:tcPr>
            <w:tcW w:w="4208" w:type="dxa"/>
            <w:shd w:val="clear" w:color="auto" w:fill="EDEDED"/>
            <w:noWrap/>
            <w:tcMar>
              <w:top w:w="0" w:type="dxa"/>
              <w:left w:w="70" w:type="dxa"/>
              <w:bottom w:w="0" w:type="dxa"/>
              <w:right w:w="70" w:type="dxa"/>
            </w:tcMar>
            <w:hideMark/>
          </w:tcPr>
          <w:p w:rsidR="00B75C56" w:rsidRPr="005202A2" w:rsidRDefault="00B75C56" w:rsidP="00B75C56">
            <w:pPr>
              <w:spacing w:before="60" w:after="60" w:line="240" w:lineRule="auto"/>
              <w:rPr>
                <w:rFonts w:ascii="Arial" w:eastAsia="Times New Roman" w:hAnsi="Arial" w:cs="Arial"/>
                <w:sz w:val="20"/>
                <w:szCs w:val="20"/>
                <w:lang w:eastAsia="pt-BR"/>
              </w:rPr>
            </w:pPr>
            <w:r w:rsidRPr="005202A2">
              <w:rPr>
                <w:rFonts w:ascii="Arial" w:eastAsia="Times New Roman" w:hAnsi="Arial" w:cs="Arial"/>
                <w:sz w:val="20"/>
                <w:szCs w:val="20"/>
                <w:lang w:eastAsia="pt-BR"/>
              </w:rPr>
              <w:t>Dívida Líquida do Setor Público (% do PIB)</w:t>
            </w:r>
          </w:p>
        </w:tc>
        <w:tc>
          <w:tcPr>
            <w:tcW w:w="1599" w:type="dxa"/>
            <w:shd w:val="clear" w:color="auto" w:fill="EDEDED"/>
            <w:noWrap/>
            <w:tcMar>
              <w:top w:w="0" w:type="dxa"/>
              <w:left w:w="70" w:type="dxa"/>
              <w:bottom w:w="0" w:type="dxa"/>
              <w:right w:w="70" w:type="dxa"/>
            </w:tcMar>
            <w:hideMark/>
          </w:tcPr>
          <w:p w:rsidR="00B75C56" w:rsidRPr="005202A2" w:rsidRDefault="00B75C56" w:rsidP="00B75C56">
            <w:pPr>
              <w:spacing w:before="60" w:after="60" w:line="240" w:lineRule="auto"/>
              <w:jc w:val="center"/>
              <w:rPr>
                <w:rFonts w:ascii="Arial" w:eastAsia="Times New Roman" w:hAnsi="Arial" w:cs="Arial"/>
                <w:sz w:val="20"/>
                <w:szCs w:val="20"/>
                <w:lang w:eastAsia="pt-BR"/>
              </w:rPr>
            </w:pPr>
            <w:r w:rsidRPr="005202A2">
              <w:rPr>
                <w:rFonts w:ascii="Arial" w:eastAsia="Times New Roman" w:hAnsi="Arial" w:cs="Arial"/>
                <w:sz w:val="20"/>
                <w:szCs w:val="20"/>
                <w:lang w:eastAsia="pt-BR"/>
              </w:rPr>
              <w:t>67,00</w:t>
            </w:r>
          </w:p>
        </w:tc>
        <w:tc>
          <w:tcPr>
            <w:tcW w:w="1801" w:type="dxa"/>
            <w:shd w:val="clear" w:color="auto" w:fill="EDEDED"/>
            <w:noWrap/>
            <w:tcMar>
              <w:top w:w="0" w:type="dxa"/>
              <w:left w:w="70" w:type="dxa"/>
              <w:bottom w:w="0" w:type="dxa"/>
              <w:right w:w="70" w:type="dxa"/>
            </w:tcMar>
            <w:hideMark/>
          </w:tcPr>
          <w:p w:rsidR="00B75C56" w:rsidRPr="005202A2" w:rsidRDefault="00B75C56" w:rsidP="00B75C56">
            <w:pPr>
              <w:spacing w:before="60" w:after="60" w:line="240" w:lineRule="auto"/>
              <w:jc w:val="center"/>
              <w:rPr>
                <w:rFonts w:ascii="Arial" w:eastAsia="Times New Roman" w:hAnsi="Arial" w:cs="Arial"/>
                <w:sz w:val="20"/>
                <w:szCs w:val="20"/>
                <w:lang w:eastAsia="pt-BR"/>
              </w:rPr>
            </w:pPr>
            <w:r w:rsidRPr="005202A2">
              <w:rPr>
                <w:rFonts w:ascii="Arial" w:eastAsia="Times New Roman" w:hAnsi="Arial" w:cs="Arial"/>
                <w:sz w:val="20"/>
                <w:szCs w:val="20"/>
                <w:lang w:eastAsia="pt-BR"/>
              </w:rPr>
              <w:t>69,83</w:t>
            </w:r>
          </w:p>
        </w:tc>
      </w:tr>
      <w:tr w:rsidR="00B75C56" w:rsidRPr="005202A2" w:rsidTr="00B75C56">
        <w:trPr>
          <w:trHeight w:val="454"/>
          <w:jc w:val="center"/>
        </w:trPr>
        <w:tc>
          <w:tcPr>
            <w:tcW w:w="4208" w:type="dxa"/>
            <w:noWrap/>
            <w:tcMar>
              <w:top w:w="0" w:type="dxa"/>
              <w:left w:w="70" w:type="dxa"/>
              <w:bottom w:w="0" w:type="dxa"/>
              <w:right w:w="70" w:type="dxa"/>
            </w:tcMar>
            <w:hideMark/>
          </w:tcPr>
          <w:p w:rsidR="00B75C56" w:rsidRPr="005202A2" w:rsidRDefault="00B75C56" w:rsidP="00B75C56">
            <w:pPr>
              <w:spacing w:before="60" w:after="60" w:line="240" w:lineRule="auto"/>
              <w:rPr>
                <w:rFonts w:ascii="Arial" w:eastAsia="Times New Roman" w:hAnsi="Arial" w:cs="Arial"/>
                <w:sz w:val="20"/>
                <w:szCs w:val="20"/>
                <w:lang w:eastAsia="pt-BR"/>
              </w:rPr>
            </w:pPr>
            <w:r w:rsidRPr="005202A2">
              <w:rPr>
                <w:rFonts w:ascii="Arial" w:eastAsia="Times New Roman" w:hAnsi="Arial" w:cs="Arial"/>
                <w:sz w:val="20"/>
                <w:szCs w:val="20"/>
                <w:lang w:eastAsia="pt-BR"/>
              </w:rPr>
              <w:t>PIB (% do crescimento)</w:t>
            </w:r>
          </w:p>
        </w:tc>
        <w:tc>
          <w:tcPr>
            <w:tcW w:w="1599" w:type="dxa"/>
            <w:noWrap/>
            <w:tcMar>
              <w:top w:w="0" w:type="dxa"/>
              <w:left w:w="70" w:type="dxa"/>
              <w:bottom w:w="0" w:type="dxa"/>
              <w:right w:w="70" w:type="dxa"/>
            </w:tcMar>
            <w:hideMark/>
          </w:tcPr>
          <w:p w:rsidR="00B75C56" w:rsidRPr="005202A2" w:rsidRDefault="00B75C56" w:rsidP="00B75C56">
            <w:pPr>
              <w:spacing w:before="60" w:after="60" w:line="240" w:lineRule="auto"/>
              <w:jc w:val="center"/>
              <w:rPr>
                <w:rFonts w:ascii="Arial" w:eastAsia="Times New Roman" w:hAnsi="Arial" w:cs="Arial"/>
                <w:sz w:val="20"/>
                <w:szCs w:val="20"/>
                <w:lang w:eastAsia="pt-BR"/>
              </w:rPr>
            </w:pPr>
            <w:r w:rsidRPr="005202A2">
              <w:rPr>
                <w:rFonts w:ascii="Arial" w:eastAsia="Times New Roman" w:hAnsi="Arial" w:cs="Arial"/>
                <w:sz w:val="20"/>
                <w:szCs w:val="20"/>
                <w:lang w:eastAsia="pt-BR"/>
              </w:rPr>
              <w:t>-5,31</w:t>
            </w:r>
          </w:p>
        </w:tc>
        <w:tc>
          <w:tcPr>
            <w:tcW w:w="1801" w:type="dxa"/>
            <w:noWrap/>
            <w:tcMar>
              <w:top w:w="0" w:type="dxa"/>
              <w:left w:w="70" w:type="dxa"/>
              <w:bottom w:w="0" w:type="dxa"/>
              <w:right w:w="70" w:type="dxa"/>
            </w:tcMar>
            <w:hideMark/>
          </w:tcPr>
          <w:p w:rsidR="00B75C56" w:rsidRPr="005202A2" w:rsidRDefault="00B75C56" w:rsidP="00B75C56">
            <w:pPr>
              <w:spacing w:before="60" w:after="60" w:line="240" w:lineRule="auto"/>
              <w:jc w:val="center"/>
              <w:rPr>
                <w:rFonts w:ascii="Arial" w:eastAsia="Times New Roman" w:hAnsi="Arial" w:cs="Arial"/>
                <w:sz w:val="20"/>
                <w:szCs w:val="20"/>
                <w:lang w:eastAsia="pt-BR"/>
              </w:rPr>
            </w:pPr>
            <w:r w:rsidRPr="005202A2">
              <w:rPr>
                <w:rFonts w:ascii="Arial" w:eastAsia="Times New Roman" w:hAnsi="Arial" w:cs="Arial"/>
                <w:sz w:val="20"/>
                <w:szCs w:val="20"/>
                <w:lang w:eastAsia="pt-BR"/>
              </w:rPr>
              <w:t>3,50</w:t>
            </w:r>
          </w:p>
        </w:tc>
      </w:tr>
      <w:tr w:rsidR="00B75C56" w:rsidRPr="005202A2" w:rsidTr="00B75C56">
        <w:trPr>
          <w:trHeight w:val="454"/>
          <w:jc w:val="center"/>
        </w:trPr>
        <w:tc>
          <w:tcPr>
            <w:tcW w:w="4208" w:type="dxa"/>
            <w:shd w:val="clear" w:color="auto" w:fill="EDEDED"/>
            <w:noWrap/>
            <w:tcMar>
              <w:top w:w="0" w:type="dxa"/>
              <w:left w:w="70" w:type="dxa"/>
              <w:bottom w:w="0" w:type="dxa"/>
              <w:right w:w="70" w:type="dxa"/>
            </w:tcMar>
            <w:hideMark/>
          </w:tcPr>
          <w:p w:rsidR="00B75C56" w:rsidRPr="005202A2" w:rsidRDefault="00B75C56" w:rsidP="00B75C56">
            <w:pPr>
              <w:spacing w:before="60" w:after="60" w:line="240" w:lineRule="auto"/>
              <w:rPr>
                <w:rFonts w:ascii="Arial" w:eastAsia="Times New Roman" w:hAnsi="Arial" w:cs="Arial"/>
                <w:sz w:val="20"/>
                <w:szCs w:val="20"/>
                <w:lang w:eastAsia="pt-BR"/>
              </w:rPr>
            </w:pPr>
            <w:r w:rsidRPr="005202A2">
              <w:rPr>
                <w:rFonts w:ascii="Arial" w:eastAsia="Times New Roman" w:hAnsi="Arial" w:cs="Arial"/>
                <w:sz w:val="20"/>
                <w:szCs w:val="20"/>
                <w:lang w:eastAsia="pt-BR"/>
              </w:rPr>
              <w:t>Produção Industrial (% do crescimento)</w:t>
            </w:r>
          </w:p>
        </w:tc>
        <w:tc>
          <w:tcPr>
            <w:tcW w:w="1599" w:type="dxa"/>
            <w:shd w:val="clear" w:color="auto" w:fill="EDEDED"/>
            <w:noWrap/>
            <w:tcMar>
              <w:top w:w="0" w:type="dxa"/>
              <w:left w:w="70" w:type="dxa"/>
              <w:bottom w:w="0" w:type="dxa"/>
              <w:right w:w="70" w:type="dxa"/>
            </w:tcMar>
            <w:hideMark/>
          </w:tcPr>
          <w:p w:rsidR="00B75C56" w:rsidRPr="005202A2" w:rsidRDefault="00B75C56" w:rsidP="00B75C56">
            <w:pPr>
              <w:spacing w:before="60" w:after="60" w:line="240" w:lineRule="auto"/>
              <w:jc w:val="center"/>
              <w:rPr>
                <w:rFonts w:ascii="Arial" w:eastAsia="Times New Roman" w:hAnsi="Arial" w:cs="Arial"/>
                <w:sz w:val="20"/>
                <w:szCs w:val="20"/>
                <w:lang w:eastAsia="pt-BR"/>
              </w:rPr>
            </w:pPr>
            <w:r w:rsidRPr="005202A2">
              <w:rPr>
                <w:rFonts w:ascii="Arial" w:eastAsia="Times New Roman" w:hAnsi="Arial" w:cs="Arial"/>
                <w:sz w:val="20"/>
                <w:szCs w:val="20"/>
                <w:lang w:eastAsia="pt-BR"/>
              </w:rPr>
              <w:t>-6,38</w:t>
            </w:r>
          </w:p>
        </w:tc>
        <w:tc>
          <w:tcPr>
            <w:tcW w:w="1801" w:type="dxa"/>
            <w:shd w:val="clear" w:color="auto" w:fill="EDEDED"/>
            <w:noWrap/>
            <w:tcMar>
              <w:top w:w="0" w:type="dxa"/>
              <w:left w:w="70" w:type="dxa"/>
              <w:bottom w:w="0" w:type="dxa"/>
              <w:right w:w="70" w:type="dxa"/>
            </w:tcMar>
            <w:hideMark/>
          </w:tcPr>
          <w:p w:rsidR="00B75C56" w:rsidRPr="005202A2" w:rsidRDefault="00B75C56" w:rsidP="00B75C56">
            <w:pPr>
              <w:spacing w:before="60" w:after="60" w:line="240" w:lineRule="auto"/>
              <w:jc w:val="center"/>
              <w:rPr>
                <w:rFonts w:ascii="Arial" w:eastAsia="Times New Roman" w:hAnsi="Arial" w:cs="Arial"/>
                <w:sz w:val="20"/>
                <w:szCs w:val="20"/>
                <w:lang w:eastAsia="pt-BR"/>
              </w:rPr>
            </w:pPr>
            <w:r w:rsidRPr="005202A2">
              <w:rPr>
                <w:rFonts w:ascii="Arial" w:eastAsia="Times New Roman" w:hAnsi="Arial" w:cs="Arial"/>
                <w:sz w:val="20"/>
                <w:szCs w:val="20"/>
                <w:lang w:eastAsia="pt-BR"/>
              </w:rPr>
              <w:t>5,33</w:t>
            </w:r>
          </w:p>
        </w:tc>
      </w:tr>
      <w:tr w:rsidR="00B75C56" w:rsidRPr="005202A2" w:rsidTr="00B75C56">
        <w:trPr>
          <w:trHeight w:val="454"/>
          <w:jc w:val="center"/>
        </w:trPr>
        <w:tc>
          <w:tcPr>
            <w:tcW w:w="4208" w:type="dxa"/>
            <w:tcBorders>
              <w:top w:val="nil"/>
              <w:left w:val="nil"/>
              <w:bottom w:val="single" w:sz="8" w:space="0" w:color="A5A5A5"/>
              <w:right w:val="nil"/>
            </w:tcBorders>
            <w:noWrap/>
            <w:tcMar>
              <w:top w:w="0" w:type="dxa"/>
              <w:left w:w="70" w:type="dxa"/>
              <w:bottom w:w="0" w:type="dxa"/>
              <w:right w:w="70" w:type="dxa"/>
            </w:tcMar>
            <w:hideMark/>
          </w:tcPr>
          <w:p w:rsidR="00B75C56" w:rsidRPr="005202A2" w:rsidRDefault="00B75C56" w:rsidP="00B75C56">
            <w:pPr>
              <w:spacing w:before="60" w:after="60" w:line="240" w:lineRule="auto"/>
              <w:rPr>
                <w:rFonts w:ascii="Arial" w:eastAsia="Times New Roman" w:hAnsi="Arial" w:cs="Arial"/>
                <w:sz w:val="20"/>
                <w:szCs w:val="20"/>
                <w:lang w:eastAsia="pt-BR"/>
              </w:rPr>
            </w:pPr>
            <w:r w:rsidRPr="005202A2">
              <w:rPr>
                <w:rFonts w:ascii="Arial" w:eastAsia="Times New Roman" w:hAnsi="Arial" w:cs="Arial"/>
                <w:sz w:val="20"/>
                <w:szCs w:val="20"/>
                <w:lang w:eastAsia="pt-BR"/>
              </w:rPr>
              <w:t>Balança comercial (US$ Bilhões)</w:t>
            </w:r>
          </w:p>
        </w:tc>
        <w:tc>
          <w:tcPr>
            <w:tcW w:w="1599" w:type="dxa"/>
            <w:tcBorders>
              <w:top w:val="nil"/>
              <w:left w:val="nil"/>
              <w:bottom w:val="single" w:sz="8" w:space="0" w:color="A5A5A5"/>
              <w:right w:val="nil"/>
            </w:tcBorders>
            <w:noWrap/>
            <w:tcMar>
              <w:top w:w="0" w:type="dxa"/>
              <w:left w:w="70" w:type="dxa"/>
              <w:bottom w:w="0" w:type="dxa"/>
              <w:right w:w="70" w:type="dxa"/>
            </w:tcMar>
            <w:hideMark/>
          </w:tcPr>
          <w:p w:rsidR="00B75C56" w:rsidRPr="005202A2" w:rsidRDefault="00B75C56" w:rsidP="00B75C56">
            <w:pPr>
              <w:spacing w:before="60" w:after="60" w:line="240" w:lineRule="auto"/>
              <w:jc w:val="center"/>
              <w:rPr>
                <w:rFonts w:ascii="Arial" w:eastAsia="Times New Roman" w:hAnsi="Arial" w:cs="Arial"/>
                <w:sz w:val="20"/>
                <w:szCs w:val="20"/>
                <w:lang w:eastAsia="pt-BR"/>
              </w:rPr>
            </w:pPr>
            <w:r w:rsidRPr="005202A2">
              <w:rPr>
                <w:rFonts w:ascii="Arial" w:eastAsia="Times New Roman" w:hAnsi="Arial" w:cs="Arial"/>
                <w:sz w:val="20"/>
                <w:szCs w:val="20"/>
                <w:lang w:eastAsia="pt-BR"/>
              </w:rPr>
              <w:t>55,00</w:t>
            </w:r>
          </w:p>
        </w:tc>
        <w:tc>
          <w:tcPr>
            <w:tcW w:w="1801" w:type="dxa"/>
            <w:tcBorders>
              <w:top w:val="nil"/>
              <w:left w:val="nil"/>
              <w:bottom w:val="single" w:sz="8" w:space="0" w:color="A5A5A5"/>
              <w:right w:val="nil"/>
            </w:tcBorders>
            <w:noWrap/>
            <w:tcMar>
              <w:top w:w="0" w:type="dxa"/>
              <w:left w:w="70" w:type="dxa"/>
              <w:bottom w:w="0" w:type="dxa"/>
              <w:right w:w="70" w:type="dxa"/>
            </w:tcMar>
            <w:hideMark/>
          </w:tcPr>
          <w:p w:rsidR="00B75C56" w:rsidRPr="005202A2" w:rsidRDefault="00B75C56" w:rsidP="00B75C56">
            <w:pPr>
              <w:spacing w:before="60" w:after="60" w:line="240" w:lineRule="auto"/>
              <w:jc w:val="center"/>
              <w:rPr>
                <w:rFonts w:ascii="Arial" w:eastAsia="Times New Roman" w:hAnsi="Arial" w:cs="Arial"/>
                <w:sz w:val="20"/>
                <w:szCs w:val="20"/>
                <w:lang w:eastAsia="pt-BR"/>
              </w:rPr>
            </w:pPr>
            <w:r w:rsidRPr="005202A2">
              <w:rPr>
                <w:rFonts w:ascii="Arial" w:eastAsia="Times New Roman" w:hAnsi="Arial" w:cs="Arial"/>
                <w:sz w:val="20"/>
                <w:szCs w:val="20"/>
                <w:lang w:eastAsia="pt-BR"/>
              </w:rPr>
              <w:t>53,35</w:t>
            </w:r>
          </w:p>
        </w:tc>
      </w:tr>
    </w:tbl>
    <w:p w:rsidR="00B75C56" w:rsidRPr="005202A2" w:rsidRDefault="00B75C56" w:rsidP="00B75C56">
      <w:pPr>
        <w:spacing w:before="240" w:after="160" w:line="240" w:lineRule="auto"/>
        <w:ind w:left="1276"/>
        <w:rPr>
          <w:rFonts w:ascii="Arial" w:eastAsia="Times New Roman" w:hAnsi="Arial" w:cs="Arial"/>
          <w:sz w:val="20"/>
          <w:szCs w:val="20"/>
          <w:lang w:eastAsia="pt-BR"/>
        </w:rPr>
      </w:pPr>
      <w:proofErr w:type="gramStart"/>
      <w:r w:rsidRPr="005202A2">
        <w:rPr>
          <w:rFonts w:ascii="Arial" w:eastAsia="Times New Roman" w:hAnsi="Arial" w:cs="Arial"/>
          <w:sz w:val="20"/>
          <w:szCs w:val="20"/>
          <w:lang w:eastAsia="pt-BR"/>
        </w:rPr>
        <w:t>https</w:t>
      </w:r>
      <w:proofErr w:type="gramEnd"/>
      <w:r w:rsidRPr="005202A2">
        <w:rPr>
          <w:rFonts w:ascii="Arial" w:eastAsia="Times New Roman" w:hAnsi="Arial" w:cs="Arial"/>
          <w:sz w:val="20"/>
          <w:szCs w:val="20"/>
          <w:lang w:eastAsia="pt-BR"/>
        </w:rPr>
        <w:t>://www.bcb.gov.br/content/focus/focus/R20200904.pdf (2020.09_04)</w:t>
      </w:r>
    </w:p>
    <w:p w:rsidR="00B75C56" w:rsidRPr="005202A2" w:rsidRDefault="00B75C56" w:rsidP="00B75C56">
      <w:pPr>
        <w:spacing w:before="240" w:after="160" w:line="240" w:lineRule="auto"/>
        <w:ind w:left="1276"/>
        <w:rPr>
          <w:rFonts w:ascii="Arial" w:eastAsia="Times New Roman" w:hAnsi="Arial" w:cs="Arial"/>
          <w:color w:val="FF0000"/>
          <w:sz w:val="20"/>
          <w:szCs w:val="20"/>
          <w:lang w:eastAsia="pt-BR"/>
        </w:rPr>
      </w:pPr>
      <w:r w:rsidRPr="005202A2">
        <w:rPr>
          <w:rFonts w:ascii="Arial" w:eastAsia="Times New Roman" w:hAnsi="Arial" w:cs="Arial"/>
          <w:color w:val="FF0000"/>
          <w:sz w:val="20"/>
          <w:szCs w:val="20"/>
          <w:lang w:eastAsia="pt-BR"/>
        </w:rPr>
        <w:t> </w:t>
      </w:r>
    </w:p>
    <w:p w:rsidR="00B75C56" w:rsidRPr="005202A2" w:rsidRDefault="00B75C56" w:rsidP="00B75C56">
      <w:pPr>
        <w:spacing w:before="100" w:beforeAutospacing="1" w:after="100" w:afterAutospacing="1" w:line="240" w:lineRule="auto"/>
        <w:outlineLvl w:val="0"/>
        <w:rPr>
          <w:rFonts w:ascii="Times New Roman" w:eastAsia="Times New Roman" w:hAnsi="Times New Roman" w:cs="Times New Roman"/>
          <w:b/>
          <w:bCs/>
          <w:kern w:val="36"/>
          <w:sz w:val="48"/>
          <w:szCs w:val="48"/>
          <w:lang w:eastAsia="pt-BR"/>
        </w:rPr>
      </w:pPr>
      <w:bookmarkStart w:id="46" w:name="_Toc20130597"/>
      <w:bookmarkStart w:id="47" w:name="_Toc490036546"/>
      <w:bookmarkStart w:id="48" w:name="_Toc435202741"/>
      <w:bookmarkEnd w:id="46"/>
      <w:bookmarkEnd w:id="47"/>
      <w:proofErr w:type="gramStart"/>
      <w:r w:rsidRPr="005202A2">
        <w:rPr>
          <w:rFonts w:ascii="Arial" w:eastAsia="Times New Roman" w:hAnsi="Arial" w:cs="Arial"/>
          <w:b/>
          <w:bCs/>
          <w:kern w:val="36"/>
          <w:lang w:eastAsia="pt-BR"/>
        </w:rPr>
        <w:t>5</w:t>
      </w:r>
      <w:proofErr w:type="gramEnd"/>
      <w:r w:rsidRPr="005202A2">
        <w:rPr>
          <w:rFonts w:ascii="Times New Roman" w:eastAsia="Times New Roman" w:hAnsi="Times New Roman" w:cs="Times New Roman"/>
          <w:b/>
          <w:bCs/>
          <w:kern w:val="36"/>
          <w:sz w:val="14"/>
          <w:szCs w:val="14"/>
          <w:lang w:eastAsia="pt-BR"/>
        </w:rPr>
        <w:t>      </w:t>
      </w:r>
      <w:r w:rsidRPr="005202A2">
        <w:rPr>
          <w:rFonts w:ascii="Times New Roman" w:eastAsia="Times New Roman" w:hAnsi="Times New Roman" w:cs="Times New Roman"/>
          <w:b/>
          <w:bCs/>
          <w:kern w:val="36"/>
          <w:sz w:val="48"/>
          <w:szCs w:val="48"/>
          <w:lang w:eastAsia="pt-BR"/>
        </w:rPr>
        <w:t xml:space="preserve"> </w:t>
      </w:r>
      <w:r w:rsidRPr="005202A2">
        <w:rPr>
          <w:rFonts w:ascii="Arial" w:eastAsia="Times New Roman" w:hAnsi="Arial" w:cs="Arial"/>
          <w:b/>
          <w:bCs/>
          <w:kern w:val="36"/>
          <w:lang w:eastAsia="pt-BR"/>
        </w:rPr>
        <w:t>ALOCAÇÃO ESTRATÉGICA DOS RECURSOS</w:t>
      </w:r>
      <w:bookmarkEnd w:id="48"/>
    </w:p>
    <w:p w:rsidR="00B75C56" w:rsidRPr="005202A2" w:rsidRDefault="00B75C56" w:rsidP="005202A2">
      <w:pPr>
        <w:spacing w:before="288" w:after="0" w:line="240" w:lineRule="auto"/>
        <w:jc w:val="both"/>
        <w:rPr>
          <w:rFonts w:ascii="Times New Roman" w:eastAsia="Times New Roman" w:hAnsi="Times New Roman" w:cs="Times New Roman"/>
          <w:sz w:val="24"/>
          <w:szCs w:val="24"/>
          <w:lang w:eastAsia="pt-BR"/>
        </w:rPr>
      </w:pPr>
      <w:r w:rsidRPr="005202A2">
        <w:rPr>
          <w:rFonts w:ascii="Arial" w:eastAsia="Times New Roman" w:hAnsi="Arial" w:cs="Arial"/>
          <w:sz w:val="20"/>
          <w:szCs w:val="20"/>
          <w:lang w:eastAsia="pt-BR"/>
        </w:rPr>
        <w:t>Na aplicação dos recursos, os responsáveis pela gestão do RPPS devem observar os limites estabelecidos por esta Política de Investimentos e pela Resolução CMN nº 3.922/2010.</w:t>
      </w:r>
    </w:p>
    <w:p w:rsidR="00B75C56" w:rsidRPr="005202A2" w:rsidRDefault="00B75C56" w:rsidP="005202A2">
      <w:pPr>
        <w:spacing w:before="288" w:after="0" w:line="240" w:lineRule="auto"/>
        <w:jc w:val="both"/>
        <w:rPr>
          <w:rFonts w:ascii="Times New Roman" w:eastAsia="Times New Roman" w:hAnsi="Times New Roman" w:cs="Times New Roman"/>
          <w:sz w:val="24"/>
          <w:szCs w:val="24"/>
          <w:lang w:eastAsia="pt-BR"/>
        </w:rPr>
      </w:pPr>
      <w:r w:rsidRPr="005202A2">
        <w:rPr>
          <w:rFonts w:ascii="Arial" w:eastAsia="Times New Roman" w:hAnsi="Arial" w:cs="Arial"/>
          <w:sz w:val="20"/>
          <w:szCs w:val="20"/>
          <w:lang w:eastAsia="pt-BR"/>
        </w:rPr>
        <w:t>A estratégia de alocação para os próximos cinco anos, leva em consideração não somente o cenário macroeconômico como também as especificidades da estratégia definida pelo resultado da análise do fluxo de caixa atuarial e as projeções futuras de déficit e/ou superávit.</w:t>
      </w:r>
    </w:p>
    <w:p w:rsidR="00B75C56" w:rsidRPr="00E135D5" w:rsidRDefault="00B75C56" w:rsidP="00B75C56">
      <w:pPr>
        <w:spacing w:before="288" w:after="0" w:line="240" w:lineRule="auto"/>
        <w:rPr>
          <w:rFonts w:ascii="Times New Roman" w:eastAsia="Times New Roman" w:hAnsi="Times New Roman" w:cs="Times New Roman"/>
          <w:sz w:val="24"/>
          <w:szCs w:val="24"/>
          <w:lang w:eastAsia="pt-BR"/>
        </w:rPr>
      </w:pPr>
      <w:r w:rsidRPr="005202A2">
        <w:rPr>
          <w:rFonts w:ascii="Arial" w:eastAsia="Times New Roman" w:hAnsi="Arial" w:cs="Arial"/>
          <w:sz w:val="20"/>
          <w:szCs w:val="20"/>
          <w:lang w:eastAsia="pt-BR"/>
        </w:rPr>
        <w:br w:type="page"/>
      </w:r>
      <w:r w:rsidRPr="00E135D5">
        <w:rPr>
          <w:rFonts w:ascii="Arial" w:eastAsia="Times New Roman" w:hAnsi="Arial" w:cs="Arial"/>
          <w:b/>
          <w:bCs/>
          <w:sz w:val="24"/>
          <w:szCs w:val="24"/>
          <w:lang w:eastAsia="pt-BR"/>
        </w:rPr>
        <w:lastRenderedPageBreak/>
        <w:t>Alocação Estratégica para o exercício de 2021</w:t>
      </w:r>
    </w:p>
    <w:tbl>
      <w:tblPr>
        <w:tblW w:w="0" w:type="auto"/>
        <w:tblCellMar>
          <w:left w:w="0" w:type="dxa"/>
          <w:right w:w="0" w:type="dxa"/>
        </w:tblCellMar>
        <w:tblLook w:val="04A0"/>
      </w:tblPr>
      <w:tblGrid>
        <w:gridCol w:w="1000"/>
        <w:gridCol w:w="3012"/>
        <w:gridCol w:w="1269"/>
        <w:gridCol w:w="283"/>
        <w:gridCol w:w="1219"/>
        <w:gridCol w:w="1262"/>
        <w:gridCol w:w="1242"/>
      </w:tblGrid>
      <w:tr w:rsidR="00B75C56" w:rsidRPr="00B75C56" w:rsidTr="00E135D5">
        <w:trPr>
          <w:trHeight w:val="551"/>
        </w:trPr>
        <w:tc>
          <w:tcPr>
            <w:tcW w:w="1002" w:type="dxa"/>
            <w:tcBorders>
              <w:top w:val="nil"/>
              <w:left w:val="nil"/>
              <w:bottom w:val="single" w:sz="8" w:space="0" w:color="auto"/>
              <w:right w:val="nil"/>
            </w:tcBorders>
            <w:tcMar>
              <w:top w:w="0" w:type="dxa"/>
              <w:left w:w="108" w:type="dxa"/>
              <w:bottom w:w="0" w:type="dxa"/>
              <w:right w:w="108" w:type="dxa"/>
            </w:tcMar>
            <w:hideMark/>
          </w:tcPr>
          <w:p w:rsidR="00B75C56" w:rsidRPr="00B75C56" w:rsidRDefault="00B75C56" w:rsidP="00B75C56">
            <w:pPr>
              <w:spacing w:before="100" w:beforeAutospacing="1" w:after="0" w:line="240" w:lineRule="auto"/>
              <w:jc w:val="center"/>
              <w:rPr>
                <w:rFonts w:ascii="Times New Roman" w:eastAsia="Times New Roman" w:hAnsi="Times New Roman" w:cs="Times New Roman"/>
                <w:color w:val="FF0000"/>
                <w:sz w:val="24"/>
                <w:szCs w:val="24"/>
                <w:lang w:eastAsia="pt-BR"/>
              </w:rPr>
            </w:pPr>
            <w:r w:rsidRPr="00B75C56">
              <w:rPr>
                <w:rFonts w:ascii="Arial" w:eastAsia="Times New Roman" w:hAnsi="Arial" w:cs="Arial"/>
                <w:b/>
                <w:bCs/>
                <w:color w:val="FF0000"/>
                <w:sz w:val="24"/>
                <w:szCs w:val="24"/>
                <w:lang w:eastAsia="pt-BR"/>
              </w:rPr>
              <w:t> </w:t>
            </w:r>
          </w:p>
        </w:tc>
        <w:tc>
          <w:tcPr>
            <w:tcW w:w="3390" w:type="dxa"/>
            <w:tcBorders>
              <w:top w:val="nil"/>
              <w:left w:val="nil"/>
              <w:bottom w:val="single" w:sz="8" w:space="0" w:color="auto"/>
              <w:right w:val="nil"/>
            </w:tcBorders>
            <w:tcMar>
              <w:top w:w="0" w:type="dxa"/>
              <w:left w:w="108" w:type="dxa"/>
              <w:bottom w:w="0" w:type="dxa"/>
              <w:right w:w="108" w:type="dxa"/>
            </w:tcMar>
            <w:hideMark/>
          </w:tcPr>
          <w:p w:rsidR="00B75C56" w:rsidRPr="00B75C56" w:rsidRDefault="00B75C56" w:rsidP="00B75C56">
            <w:pPr>
              <w:spacing w:before="100" w:beforeAutospacing="1" w:after="0" w:line="240" w:lineRule="auto"/>
              <w:jc w:val="center"/>
              <w:rPr>
                <w:rFonts w:ascii="Times New Roman" w:eastAsia="Times New Roman" w:hAnsi="Times New Roman" w:cs="Times New Roman"/>
                <w:color w:val="FF0000"/>
                <w:sz w:val="24"/>
                <w:szCs w:val="24"/>
                <w:lang w:eastAsia="pt-BR"/>
              </w:rPr>
            </w:pPr>
            <w:r w:rsidRPr="00B75C56">
              <w:rPr>
                <w:rFonts w:ascii="Arial" w:eastAsia="Times New Roman" w:hAnsi="Arial" w:cs="Arial"/>
                <w:b/>
                <w:bCs/>
                <w:color w:val="FF0000"/>
                <w:sz w:val="24"/>
                <w:szCs w:val="24"/>
                <w:lang w:eastAsia="pt-BR"/>
              </w:rPr>
              <w:t> </w:t>
            </w:r>
          </w:p>
        </w:tc>
        <w:tc>
          <w:tcPr>
            <w:tcW w:w="1327" w:type="dxa"/>
            <w:tcBorders>
              <w:top w:val="nil"/>
              <w:left w:val="nil"/>
              <w:bottom w:val="single" w:sz="8" w:space="0" w:color="auto"/>
              <w:right w:val="nil"/>
            </w:tcBorders>
            <w:tcMar>
              <w:top w:w="0" w:type="dxa"/>
              <w:left w:w="108" w:type="dxa"/>
              <w:bottom w:w="0" w:type="dxa"/>
              <w:right w:w="108" w:type="dxa"/>
            </w:tcMar>
            <w:hideMark/>
          </w:tcPr>
          <w:p w:rsidR="00B75C56" w:rsidRPr="00B75C56" w:rsidRDefault="00B75C56" w:rsidP="00B75C56">
            <w:pPr>
              <w:spacing w:before="100" w:beforeAutospacing="1" w:after="0" w:line="240" w:lineRule="auto"/>
              <w:jc w:val="center"/>
              <w:rPr>
                <w:rFonts w:ascii="Times New Roman" w:eastAsia="Times New Roman" w:hAnsi="Times New Roman" w:cs="Times New Roman"/>
                <w:color w:val="FF0000"/>
                <w:sz w:val="24"/>
                <w:szCs w:val="24"/>
                <w:lang w:eastAsia="pt-BR"/>
              </w:rPr>
            </w:pPr>
            <w:r w:rsidRPr="00B75C56">
              <w:rPr>
                <w:rFonts w:ascii="Arial" w:eastAsia="Times New Roman" w:hAnsi="Arial" w:cs="Arial"/>
                <w:b/>
                <w:bCs/>
                <w:color w:val="FF0000"/>
                <w:sz w:val="24"/>
                <w:szCs w:val="24"/>
                <w:lang w:eastAsia="pt-BR"/>
              </w:rPr>
              <w:t> </w:t>
            </w:r>
          </w:p>
        </w:tc>
        <w:tc>
          <w:tcPr>
            <w:tcW w:w="234" w:type="dxa"/>
            <w:tcBorders>
              <w:top w:val="nil"/>
              <w:left w:val="nil"/>
              <w:bottom w:val="nil"/>
              <w:right w:val="single" w:sz="8" w:space="0" w:color="auto"/>
            </w:tcBorders>
            <w:tcMar>
              <w:top w:w="0" w:type="dxa"/>
              <w:left w:w="108" w:type="dxa"/>
              <w:bottom w:w="0" w:type="dxa"/>
              <w:right w:w="108" w:type="dxa"/>
            </w:tcMar>
            <w:hideMark/>
          </w:tcPr>
          <w:p w:rsidR="00B75C56" w:rsidRPr="00B75C56" w:rsidRDefault="00B75C56" w:rsidP="00B75C56">
            <w:pPr>
              <w:spacing w:before="100" w:beforeAutospacing="1" w:after="0" w:line="240" w:lineRule="auto"/>
              <w:jc w:val="center"/>
              <w:rPr>
                <w:rFonts w:ascii="Times New Roman" w:eastAsia="Times New Roman" w:hAnsi="Times New Roman" w:cs="Times New Roman"/>
                <w:color w:val="FF0000"/>
                <w:sz w:val="24"/>
                <w:szCs w:val="24"/>
                <w:lang w:eastAsia="pt-BR"/>
              </w:rPr>
            </w:pPr>
            <w:r w:rsidRPr="00B75C56">
              <w:rPr>
                <w:rFonts w:ascii="Arial" w:eastAsia="Times New Roman" w:hAnsi="Arial" w:cs="Arial"/>
                <w:b/>
                <w:bCs/>
                <w:color w:val="FF0000"/>
                <w:sz w:val="24"/>
                <w:szCs w:val="24"/>
                <w:lang w:eastAsia="pt-BR"/>
              </w:rPr>
              <w:t> </w:t>
            </w:r>
          </w:p>
        </w:tc>
        <w:tc>
          <w:tcPr>
            <w:tcW w:w="3984" w:type="dxa"/>
            <w:gridSpan w:val="3"/>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B75C56" w:rsidRPr="00E135D5" w:rsidRDefault="00B75C56" w:rsidP="00B75C56">
            <w:pPr>
              <w:spacing w:before="60" w:after="6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b/>
                <w:bCs/>
                <w:sz w:val="16"/>
                <w:szCs w:val="16"/>
                <w:lang w:eastAsia="pt-BR"/>
              </w:rPr>
              <w:t>Estratégia de Alocação - Política de Investimento de 2021</w:t>
            </w:r>
          </w:p>
        </w:tc>
      </w:tr>
      <w:tr w:rsidR="00B75C56" w:rsidRPr="00B75C56" w:rsidTr="00B75C56">
        <w:trPr>
          <w:trHeight w:val="646"/>
        </w:trPr>
        <w:tc>
          <w:tcPr>
            <w:tcW w:w="100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b/>
                <w:bCs/>
                <w:sz w:val="16"/>
                <w:szCs w:val="16"/>
                <w:lang w:eastAsia="pt-BR"/>
              </w:rPr>
              <w:t>Segmento</w:t>
            </w:r>
          </w:p>
        </w:tc>
        <w:tc>
          <w:tcPr>
            <w:tcW w:w="339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b/>
                <w:bCs/>
                <w:sz w:val="16"/>
                <w:szCs w:val="16"/>
                <w:lang w:eastAsia="pt-BR"/>
              </w:rPr>
              <w:t>Tipo de Ativo</w:t>
            </w:r>
          </w:p>
        </w:tc>
        <w:tc>
          <w:tcPr>
            <w:tcW w:w="132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b/>
                <w:bCs/>
                <w:sz w:val="16"/>
                <w:szCs w:val="16"/>
                <w:lang w:eastAsia="pt-BR"/>
              </w:rPr>
              <w:t>Limite da Resolução CMN %</w:t>
            </w:r>
          </w:p>
        </w:tc>
        <w:tc>
          <w:tcPr>
            <w:tcW w:w="234" w:type="dxa"/>
            <w:tcBorders>
              <w:top w:val="nil"/>
              <w:left w:val="nil"/>
              <w:bottom w:val="nil"/>
              <w:right w:val="single" w:sz="8" w:space="0" w:color="auto"/>
            </w:tcBorders>
            <w:tcMar>
              <w:top w:w="0" w:type="dxa"/>
              <w:left w:w="108" w:type="dxa"/>
              <w:bottom w:w="0" w:type="dxa"/>
              <w:right w:w="108" w:type="dxa"/>
            </w:tcMar>
            <w:hideMark/>
          </w:tcPr>
          <w:p w:rsidR="00B75C56" w:rsidRPr="00B75C56" w:rsidRDefault="00B75C56" w:rsidP="00B75C56">
            <w:pPr>
              <w:spacing w:before="100" w:beforeAutospacing="1" w:after="0" w:line="240" w:lineRule="auto"/>
              <w:jc w:val="center"/>
              <w:rPr>
                <w:rFonts w:ascii="Times New Roman" w:eastAsia="Times New Roman" w:hAnsi="Times New Roman" w:cs="Times New Roman"/>
                <w:color w:val="FF0000"/>
                <w:sz w:val="24"/>
                <w:szCs w:val="24"/>
                <w:lang w:eastAsia="pt-BR"/>
              </w:rPr>
            </w:pPr>
            <w:r w:rsidRPr="00B75C56">
              <w:rPr>
                <w:rFonts w:ascii="Arial" w:eastAsia="Times New Roman" w:hAnsi="Arial" w:cs="Arial"/>
                <w:b/>
                <w:bCs/>
                <w:color w:val="FF0000"/>
                <w:sz w:val="24"/>
                <w:szCs w:val="24"/>
                <w:lang w:eastAsia="pt-BR"/>
              </w:rPr>
              <w:t> </w:t>
            </w:r>
          </w:p>
        </w:tc>
        <w:tc>
          <w:tcPr>
            <w:tcW w:w="132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B75C56" w:rsidRPr="00E135D5" w:rsidRDefault="00B75C56" w:rsidP="00B75C56">
            <w:pPr>
              <w:spacing w:before="60" w:after="6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b/>
                <w:bCs/>
                <w:sz w:val="16"/>
                <w:szCs w:val="16"/>
                <w:lang w:eastAsia="pt-BR"/>
              </w:rPr>
              <w:t>Limite Inferior (%)</w:t>
            </w:r>
          </w:p>
        </w:tc>
        <w:tc>
          <w:tcPr>
            <w:tcW w:w="132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B75C56" w:rsidRPr="00E135D5" w:rsidRDefault="00B75C56" w:rsidP="00B75C56">
            <w:pPr>
              <w:spacing w:before="60" w:after="6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b/>
                <w:bCs/>
                <w:sz w:val="16"/>
                <w:szCs w:val="16"/>
                <w:lang w:eastAsia="pt-BR"/>
              </w:rPr>
              <w:t>Estratégia Alvo (%)</w:t>
            </w:r>
          </w:p>
        </w:tc>
        <w:tc>
          <w:tcPr>
            <w:tcW w:w="133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B75C56" w:rsidRPr="00E135D5" w:rsidRDefault="00B75C56" w:rsidP="00B75C56">
            <w:pPr>
              <w:spacing w:before="60" w:after="6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b/>
                <w:bCs/>
                <w:sz w:val="16"/>
                <w:szCs w:val="16"/>
                <w:lang w:eastAsia="pt-BR"/>
              </w:rPr>
              <w:t>Limite Superior (%)</w:t>
            </w:r>
          </w:p>
        </w:tc>
      </w:tr>
      <w:tr w:rsidR="00B75C56" w:rsidRPr="00B75C56" w:rsidTr="00B75C56">
        <w:trPr>
          <w:trHeight w:val="314"/>
        </w:trPr>
        <w:tc>
          <w:tcPr>
            <w:tcW w:w="1002" w:type="dxa"/>
            <w:vMerge w:val="restar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b/>
                <w:bCs/>
                <w:sz w:val="16"/>
                <w:szCs w:val="16"/>
                <w:lang w:eastAsia="pt-BR"/>
              </w:rPr>
              <w:t>Renda Fixa</w:t>
            </w:r>
          </w:p>
        </w:tc>
        <w:tc>
          <w:tcPr>
            <w:tcW w:w="3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7º I a - Títulos do Tesouro Nacional SELIC</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100,00%</w:t>
            </w:r>
          </w:p>
        </w:tc>
        <w:tc>
          <w:tcPr>
            <w:tcW w:w="234" w:type="dxa"/>
            <w:tcBorders>
              <w:top w:val="nil"/>
              <w:left w:val="nil"/>
              <w:bottom w:val="nil"/>
              <w:right w:val="single" w:sz="8" w:space="0" w:color="auto"/>
            </w:tcBorders>
            <w:tcMar>
              <w:top w:w="0" w:type="dxa"/>
              <w:left w:w="108" w:type="dxa"/>
              <w:bottom w:w="0" w:type="dxa"/>
              <w:right w:w="108" w:type="dxa"/>
            </w:tcMar>
            <w:vAlign w:val="center"/>
            <w:hideMark/>
          </w:tcPr>
          <w:p w:rsidR="00B75C56" w:rsidRPr="00B75C56" w:rsidRDefault="00B75C56" w:rsidP="00B75C56">
            <w:pPr>
              <w:spacing w:before="100" w:beforeAutospacing="1" w:after="0" w:line="240" w:lineRule="auto"/>
              <w:jc w:val="center"/>
              <w:rPr>
                <w:rFonts w:ascii="Times New Roman" w:eastAsia="Times New Roman" w:hAnsi="Times New Roman" w:cs="Times New Roman"/>
                <w:color w:val="FF0000"/>
                <w:sz w:val="24"/>
                <w:szCs w:val="24"/>
                <w:lang w:eastAsia="pt-BR"/>
              </w:rPr>
            </w:pPr>
            <w:r w:rsidRPr="00B75C56">
              <w:rPr>
                <w:rFonts w:ascii="Arial" w:eastAsia="Times New Roman" w:hAnsi="Arial" w:cs="Arial"/>
                <w:b/>
                <w:bCs/>
                <w:color w:val="FF0000"/>
                <w:sz w:val="24"/>
                <w:szCs w:val="24"/>
                <w:lang w:eastAsia="pt-BR"/>
              </w:rPr>
              <w:t> </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0,00%</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16,39%</w:t>
            </w: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20,00%</w:t>
            </w:r>
          </w:p>
        </w:tc>
      </w:tr>
      <w:tr w:rsidR="00B75C56" w:rsidRPr="00B75C56" w:rsidTr="00B75C56">
        <w:trPr>
          <w:trHeight w:val="341"/>
        </w:trPr>
        <w:tc>
          <w:tcPr>
            <w:tcW w:w="0" w:type="auto"/>
            <w:vMerge/>
            <w:tcBorders>
              <w:top w:val="nil"/>
              <w:left w:val="single" w:sz="8" w:space="0" w:color="auto"/>
              <w:bottom w:val="single" w:sz="8" w:space="0" w:color="auto"/>
              <w:right w:val="single" w:sz="8" w:space="0" w:color="auto"/>
            </w:tcBorders>
            <w:vAlign w:val="center"/>
            <w:hideMark/>
          </w:tcPr>
          <w:p w:rsidR="00B75C56" w:rsidRPr="00E135D5" w:rsidRDefault="00B75C56" w:rsidP="00B75C56">
            <w:pPr>
              <w:spacing w:after="0" w:line="240" w:lineRule="auto"/>
              <w:rPr>
                <w:rFonts w:ascii="Times New Roman" w:eastAsia="Times New Roman" w:hAnsi="Times New Roman" w:cs="Times New Roman"/>
                <w:sz w:val="24"/>
                <w:szCs w:val="24"/>
                <w:lang w:eastAsia="pt-BR"/>
              </w:rPr>
            </w:pPr>
          </w:p>
        </w:tc>
        <w:tc>
          <w:tcPr>
            <w:tcW w:w="3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7º I b - FI 100% Títulos TN</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100,00%</w:t>
            </w:r>
          </w:p>
        </w:tc>
        <w:tc>
          <w:tcPr>
            <w:tcW w:w="234" w:type="dxa"/>
            <w:tcBorders>
              <w:top w:val="nil"/>
              <w:left w:val="nil"/>
              <w:bottom w:val="nil"/>
              <w:right w:val="single" w:sz="8" w:space="0" w:color="auto"/>
            </w:tcBorders>
            <w:tcMar>
              <w:top w:w="0" w:type="dxa"/>
              <w:left w:w="108" w:type="dxa"/>
              <w:bottom w:w="0" w:type="dxa"/>
              <w:right w:w="108" w:type="dxa"/>
            </w:tcMar>
            <w:vAlign w:val="center"/>
            <w:hideMark/>
          </w:tcPr>
          <w:p w:rsidR="00B75C56" w:rsidRPr="00B75C56" w:rsidRDefault="00B75C56" w:rsidP="00B75C56">
            <w:pPr>
              <w:spacing w:before="100" w:beforeAutospacing="1" w:after="0" w:line="240" w:lineRule="auto"/>
              <w:jc w:val="center"/>
              <w:rPr>
                <w:rFonts w:ascii="Times New Roman" w:eastAsia="Times New Roman" w:hAnsi="Times New Roman" w:cs="Times New Roman"/>
                <w:color w:val="FF0000"/>
                <w:sz w:val="24"/>
                <w:szCs w:val="24"/>
                <w:lang w:eastAsia="pt-BR"/>
              </w:rPr>
            </w:pPr>
            <w:r w:rsidRPr="00B75C56">
              <w:rPr>
                <w:rFonts w:ascii="Arial" w:eastAsia="Times New Roman" w:hAnsi="Arial" w:cs="Arial"/>
                <w:b/>
                <w:bCs/>
                <w:color w:val="FF0000"/>
                <w:sz w:val="24"/>
                <w:szCs w:val="24"/>
                <w:lang w:eastAsia="pt-BR"/>
              </w:rPr>
              <w:t> </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8,23%</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41,15%</w:t>
            </w: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51,43%</w:t>
            </w:r>
          </w:p>
        </w:tc>
      </w:tr>
      <w:tr w:rsidR="00B75C56" w:rsidRPr="00B75C56" w:rsidTr="00B75C56">
        <w:trPr>
          <w:trHeight w:val="314"/>
        </w:trPr>
        <w:tc>
          <w:tcPr>
            <w:tcW w:w="0" w:type="auto"/>
            <w:vMerge/>
            <w:tcBorders>
              <w:top w:val="nil"/>
              <w:left w:val="single" w:sz="8" w:space="0" w:color="auto"/>
              <w:bottom w:val="single" w:sz="8" w:space="0" w:color="auto"/>
              <w:right w:val="single" w:sz="8" w:space="0" w:color="auto"/>
            </w:tcBorders>
            <w:vAlign w:val="center"/>
            <w:hideMark/>
          </w:tcPr>
          <w:p w:rsidR="00B75C56" w:rsidRPr="00E135D5" w:rsidRDefault="00B75C56" w:rsidP="00B75C56">
            <w:pPr>
              <w:spacing w:after="0" w:line="240" w:lineRule="auto"/>
              <w:rPr>
                <w:rFonts w:ascii="Times New Roman" w:eastAsia="Times New Roman" w:hAnsi="Times New Roman" w:cs="Times New Roman"/>
                <w:sz w:val="24"/>
                <w:szCs w:val="24"/>
                <w:lang w:eastAsia="pt-BR"/>
              </w:rPr>
            </w:pPr>
          </w:p>
        </w:tc>
        <w:tc>
          <w:tcPr>
            <w:tcW w:w="3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 xml:space="preserve">7º I c - FI </w:t>
            </w:r>
            <w:proofErr w:type="spellStart"/>
            <w:r w:rsidRPr="00E135D5">
              <w:rPr>
                <w:rFonts w:ascii="Arial" w:eastAsia="Times New Roman" w:hAnsi="Arial" w:cs="Arial"/>
                <w:sz w:val="16"/>
                <w:szCs w:val="16"/>
                <w:lang w:eastAsia="pt-BR"/>
              </w:rPr>
              <w:t>Ref</w:t>
            </w:r>
            <w:proofErr w:type="spellEnd"/>
            <w:r w:rsidRPr="00E135D5">
              <w:rPr>
                <w:rFonts w:ascii="Arial" w:eastAsia="Times New Roman" w:hAnsi="Arial" w:cs="Arial"/>
                <w:sz w:val="16"/>
                <w:szCs w:val="16"/>
                <w:lang w:eastAsia="pt-BR"/>
              </w:rPr>
              <w:t xml:space="preserve"> em Índice de RF, 100% TP</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100,00%</w:t>
            </w:r>
          </w:p>
        </w:tc>
        <w:tc>
          <w:tcPr>
            <w:tcW w:w="234" w:type="dxa"/>
            <w:tcBorders>
              <w:top w:val="nil"/>
              <w:left w:val="nil"/>
              <w:bottom w:val="nil"/>
              <w:right w:val="single" w:sz="8" w:space="0" w:color="auto"/>
            </w:tcBorders>
            <w:tcMar>
              <w:top w:w="0" w:type="dxa"/>
              <w:left w:w="108" w:type="dxa"/>
              <w:bottom w:w="0" w:type="dxa"/>
              <w:right w:w="108" w:type="dxa"/>
            </w:tcMar>
            <w:vAlign w:val="center"/>
            <w:hideMark/>
          </w:tcPr>
          <w:p w:rsidR="00B75C56" w:rsidRPr="00B75C56" w:rsidRDefault="00B75C56" w:rsidP="00B75C56">
            <w:pPr>
              <w:spacing w:before="100" w:beforeAutospacing="1" w:after="0" w:line="240" w:lineRule="auto"/>
              <w:jc w:val="center"/>
              <w:rPr>
                <w:rFonts w:ascii="Times New Roman" w:eastAsia="Times New Roman" w:hAnsi="Times New Roman" w:cs="Times New Roman"/>
                <w:color w:val="FF0000"/>
                <w:sz w:val="24"/>
                <w:szCs w:val="24"/>
                <w:lang w:eastAsia="pt-BR"/>
              </w:rPr>
            </w:pPr>
            <w:r w:rsidRPr="00B75C56">
              <w:rPr>
                <w:rFonts w:ascii="Arial" w:eastAsia="Times New Roman" w:hAnsi="Arial" w:cs="Arial"/>
                <w:b/>
                <w:bCs/>
                <w:color w:val="FF0000"/>
                <w:sz w:val="24"/>
                <w:szCs w:val="24"/>
                <w:lang w:eastAsia="pt-BR"/>
              </w:rPr>
              <w:t> </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0,00%</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0,00%</w:t>
            </w: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0,00%</w:t>
            </w:r>
          </w:p>
        </w:tc>
      </w:tr>
      <w:tr w:rsidR="00B75C56" w:rsidRPr="00B75C56" w:rsidTr="00B75C56">
        <w:trPr>
          <w:trHeight w:val="341"/>
        </w:trPr>
        <w:tc>
          <w:tcPr>
            <w:tcW w:w="0" w:type="auto"/>
            <w:vMerge/>
            <w:tcBorders>
              <w:top w:val="nil"/>
              <w:left w:val="single" w:sz="8" w:space="0" w:color="auto"/>
              <w:bottom w:val="single" w:sz="8" w:space="0" w:color="auto"/>
              <w:right w:val="single" w:sz="8" w:space="0" w:color="auto"/>
            </w:tcBorders>
            <w:vAlign w:val="center"/>
            <w:hideMark/>
          </w:tcPr>
          <w:p w:rsidR="00B75C56" w:rsidRPr="00E135D5" w:rsidRDefault="00B75C56" w:rsidP="00B75C56">
            <w:pPr>
              <w:spacing w:after="0" w:line="240" w:lineRule="auto"/>
              <w:rPr>
                <w:rFonts w:ascii="Times New Roman" w:eastAsia="Times New Roman" w:hAnsi="Times New Roman" w:cs="Times New Roman"/>
                <w:sz w:val="24"/>
                <w:szCs w:val="24"/>
                <w:lang w:eastAsia="pt-BR"/>
              </w:rPr>
            </w:pPr>
          </w:p>
        </w:tc>
        <w:tc>
          <w:tcPr>
            <w:tcW w:w="3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 xml:space="preserve">7º II - </w:t>
            </w:r>
            <w:proofErr w:type="spellStart"/>
            <w:r w:rsidRPr="00E135D5">
              <w:rPr>
                <w:rFonts w:ascii="Arial" w:eastAsia="Times New Roman" w:hAnsi="Arial" w:cs="Arial"/>
                <w:sz w:val="16"/>
                <w:szCs w:val="16"/>
                <w:lang w:eastAsia="pt-BR"/>
              </w:rPr>
              <w:t>Oper</w:t>
            </w:r>
            <w:proofErr w:type="spellEnd"/>
            <w:r w:rsidRPr="00E135D5">
              <w:rPr>
                <w:rFonts w:ascii="Arial" w:eastAsia="Times New Roman" w:hAnsi="Arial" w:cs="Arial"/>
                <w:sz w:val="16"/>
                <w:szCs w:val="16"/>
                <w:lang w:eastAsia="pt-BR"/>
              </w:rPr>
              <w:t xml:space="preserve">. </w:t>
            </w:r>
            <w:proofErr w:type="gramStart"/>
            <w:r w:rsidRPr="00E135D5">
              <w:rPr>
                <w:rFonts w:ascii="Arial" w:eastAsia="Times New Roman" w:hAnsi="Arial" w:cs="Arial"/>
                <w:sz w:val="16"/>
                <w:szCs w:val="16"/>
                <w:lang w:eastAsia="pt-BR"/>
              </w:rPr>
              <w:t>compromissadas</w:t>
            </w:r>
            <w:proofErr w:type="gramEnd"/>
            <w:r w:rsidRPr="00E135D5">
              <w:rPr>
                <w:rFonts w:ascii="Arial" w:eastAsia="Times New Roman" w:hAnsi="Arial" w:cs="Arial"/>
                <w:sz w:val="16"/>
                <w:szCs w:val="16"/>
                <w:lang w:eastAsia="pt-BR"/>
              </w:rPr>
              <w:t xml:space="preserve"> em TP TN</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5,00%</w:t>
            </w:r>
          </w:p>
        </w:tc>
        <w:tc>
          <w:tcPr>
            <w:tcW w:w="234" w:type="dxa"/>
            <w:tcBorders>
              <w:top w:val="nil"/>
              <w:left w:val="nil"/>
              <w:bottom w:val="nil"/>
              <w:right w:val="single" w:sz="8" w:space="0" w:color="auto"/>
            </w:tcBorders>
            <w:tcMar>
              <w:top w:w="0" w:type="dxa"/>
              <w:left w:w="108" w:type="dxa"/>
              <w:bottom w:w="0" w:type="dxa"/>
              <w:right w:w="108" w:type="dxa"/>
            </w:tcMar>
            <w:vAlign w:val="center"/>
            <w:hideMark/>
          </w:tcPr>
          <w:p w:rsidR="00B75C56" w:rsidRPr="00B75C56" w:rsidRDefault="00B75C56" w:rsidP="00B75C56">
            <w:pPr>
              <w:spacing w:before="100" w:beforeAutospacing="1" w:after="0" w:line="240" w:lineRule="auto"/>
              <w:jc w:val="center"/>
              <w:rPr>
                <w:rFonts w:ascii="Times New Roman" w:eastAsia="Times New Roman" w:hAnsi="Times New Roman" w:cs="Times New Roman"/>
                <w:color w:val="FF0000"/>
                <w:sz w:val="24"/>
                <w:szCs w:val="24"/>
                <w:lang w:eastAsia="pt-BR"/>
              </w:rPr>
            </w:pPr>
            <w:r w:rsidRPr="00B75C56">
              <w:rPr>
                <w:rFonts w:ascii="Arial" w:eastAsia="Times New Roman" w:hAnsi="Arial" w:cs="Arial"/>
                <w:b/>
                <w:bCs/>
                <w:color w:val="FF0000"/>
                <w:sz w:val="24"/>
                <w:szCs w:val="24"/>
                <w:lang w:eastAsia="pt-BR"/>
              </w:rPr>
              <w:t> </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0,00%</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0,00%</w:t>
            </w: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0,00%</w:t>
            </w:r>
          </w:p>
        </w:tc>
      </w:tr>
      <w:tr w:rsidR="00B75C56" w:rsidRPr="00B75C56" w:rsidTr="00B75C56">
        <w:trPr>
          <w:trHeight w:val="314"/>
        </w:trPr>
        <w:tc>
          <w:tcPr>
            <w:tcW w:w="0" w:type="auto"/>
            <w:vMerge/>
            <w:tcBorders>
              <w:top w:val="nil"/>
              <w:left w:val="single" w:sz="8" w:space="0" w:color="auto"/>
              <w:bottom w:val="single" w:sz="8" w:space="0" w:color="auto"/>
              <w:right w:val="single" w:sz="8" w:space="0" w:color="auto"/>
            </w:tcBorders>
            <w:vAlign w:val="center"/>
            <w:hideMark/>
          </w:tcPr>
          <w:p w:rsidR="00B75C56" w:rsidRPr="00E135D5" w:rsidRDefault="00B75C56" w:rsidP="00B75C56">
            <w:pPr>
              <w:spacing w:after="0" w:line="240" w:lineRule="auto"/>
              <w:rPr>
                <w:rFonts w:ascii="Times New Roman" w:eastAsia="Times New Roman" w:hAnsi="Times New Roman" w:cs="Times New Roman"/>
                <w:sz w:val="24"/>
                <w:szCs w:val="24"/>
                <w:lang w:eastAsia="pt-BR"/>
              </w:rPr>
            </w:pPr>
          </w:p>
        </w:tc>
        <w:tc>
          <w:tcPr>
            <w:tcW w:w="3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7º III a - FI Referenciados RF</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60,00%</w:t>
            </w:r>
          </w:p>
        </w:tc>
        <w:tc>
          <w:tcPr>
            <w:tcW w:w="234" w:type="dxa"/>
            <w:tcBorders>
              <w:top w:val="nil"/>
              <w:left w:val="nil"/>
              <w:bottom w:val="nil"/>
              <w:right w:val="single" w:sz="8" w:space="0" w:color="auto"/>
            </w:tcBorders>
            <w:tcMar>
              <w:top w:w="0" w:type="dxa"/>
              <w:left w:w="108" w:type="dxa"/>
              <w:bottom w:w="0" w:type="dxa"/>
              <w:right w:w="108" w:type="dxa"/>
            </w:tcMar>
            <w:vAlign w:val="center"/>
            <w:hideMark/>
          </w:tcPr>
          <w:p w:rsidR="00B75C56" w:rsidRPr="00B75C56" w:rsidRDefault="00B75C56" w:rsidP="00B75C56">
            <w:pPr>
              <w:spacing w:before="100" w:beforeAutospacing="1" w:after="0" w:line="240" w:lineRule="auto"/>
              <w:jc w:val="center"/>
              <w:rPr>
                <w:rFonts w:ascii="Times New Roman" w:eastAsia="Times New Roman" w:hAnsi="Times New Roman" w:cs="Times New Roman"/>
                <w:color w:val="FF0000"/>
                <w:sz w:val="24"/>
                <w:szCs w:val="24"/>
                <w:lang w:eastAsia="pt-BR"/>
              </w:rPr>
            </w:pPr>
            <w:r w:rsidRPr="00B75C56">
              <w:rPr>
                <w:rFonts w:ascii="Arial" w:eastAsia="Times New Roman" w:hAnsi="Arial" w:cs="Arial"/>
                <w:b/>
                <w:bCs/>
                <w:color w:val="FF0000"/>
                <w:sz w:val="24"/>
                <w:szCs w:val="24"/>
                <w:lang w:eastAsia="pt-BR"/>
              </w:rPr>
              <w:t> </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0,00%</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0,00%</w:t>
            </w: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15,00%</w:t>
            </w:r>
          </w:p>
        </w:tc>
      </w:tr>
      <w:tr w:rsidR="00B75C56" w:rsidRPr="00B75C56" w:rsidTr="00B75C56">
        <w:trPr>
          <w:trHeight w:val="341"/>
        </w:trPr>
        <w:tc>
          <w:tcPr>
            <w:tcW w:w="0" w:type="auto"/>
            <w:vMerge/>
            <w:tcBorders>
              <w:top w:val="nil"/>
              <w:left w:val="single" w:sz="8" w:space="0" w:color="auto"/>
              <w:bottom w:val="single" w:sz="8" w:space="0" w:color="auto"/>
              <w:right w:val="single" w:sz="8" w:space="0" w:color="auto"/>
            </w:tcBorders>
            <w:vAlign w:val="center"/>
            <w:hideMark/>
          </w:tcPr>
          <w:p w:rsidR="00B75C56" w:rsidRPr="00E135D5" w:rsidRDefault="00B75C56" w:rsidP="00B75C56">
            <w:pPr>
              <w:spacing w:after="0" w:line="240" w:lineRule="auto"/>
              <w:rPr>
                <w:rFonts w:ascii="Times New Roman" w:eastAsia="Times New Roman" w:hAnsi="Times New Roman" w:cs="Times New Roman"/>
                <w:sz w:val="24"/>
                <w:szCs w:val="24"/>
                <w:lang w:eastAsia="pt-BR"/>
              </w:rPr>
            </w:pPr>
          </w:p>
        </w:tc>
        <w:tc>
          <w:tcPr>
            <w:tcW w:w="3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7º III b - FI de Índices Referenciado RF</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60,00%</w:t>
            </w:r>
          </w:p>
        </w:tc>
        <w:tc>
          <w:tcPr>
            <w:tcW w:w="234" w:type="dxa"/>
            <w:tcBorders>
              <w:top w:val="nil"/>
              <w:left w:val="nil"/>
              <w:bottom w:val="nil"/>
              <w:right w:val="single" w:sz="8" w:space="0" w:color="auto"/>
            </w:tcBorders>
            <w:tcMar>
              <w:top w:w="0" w:type="dxa"/>
              <w:left w:w="108" w:type="dxa"/>
              <w:bottom w:w="0" w:type="dxa"/>
              <w:right w:w="108" w:type="dxa"/>
            </w:tcMar>
            <w:vAlign w:val="center"/>
            <w:hideMark/>
          </w:tcPr>
          <w:p w:rsidR="00B75C56" w:rsidRPr="00B75C56" w:rsidRDefault="00B75C56" w:rsidP="00B75C56">
            <w:pPr>
              <w:spacing w:before="100" w:beforeAutospacing="1" w:after="0" w:line="240" w:lineRule="auto"/>
              <w:jc w:val="center"/>
              <w:rPr>
                <w:rFonts w:ascii="Times New Roman" w:eastAsia="Times New Roman" w:hAnsi="Times New Roman" w:cs="Times New Roman"/>
                <w:color w:val="FF0000"/>
                <w:sz w:val="24"/>
                <w:szCs w:val="24"/>
                <w:lang w:eastAsia="pt-BR"/>
              </w:rPr>
            </w:pPr>
            <w:r w:rsidRPr="00B75C56">
              <w:rPr>
                <w:rFonts w:ascii="Arial" w:eastAsia="Times New Roman" w:hAnsi="Arial" w:cs="Arial"/>
                <w:color w:val="FF0000"/>
                <w:sz w:val="24"/>
                <w:szCs w:val="24"/>
                <w:lang w:eastAsia="pt-BR"/>
              </w:rPr>
              <w:t> </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0,00%</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0,00%</w:t>
            </w: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0,00%</w:t>
            </w:r>
          </w:p>
        </w:tc>
      </w:tr>
      <w:tr w:rsidR="00B75C56" w:rsidRPr="00B75C56" w:rsidTr="00B75C56">
        <w:trPr>
          <w:trHeight w:val="314"/>
        </w:trPr>
        <w:tc>
          <w:tcPr>
            <w:tcW w:w="0" w:type="auto"/>
            <w:vMerge/>
            <w:tcBorders>
              <w:top w:val="nil"/>
              <w:left w:val="single" w:sz="8" w:space="0" w:color="auto"/>
              <w:bottom w:val="single" w:sz="8" w:space="0" w:color="auto"/>
              <w:right w:val="single" w:sz="8" w:space="0" w:color="auto"/>
            </w:tcBorders>
            <w:vAlign w:val="center"/>
            <w:hideMark/>
          </w:tcPr>
          <w:p w:rsidR="00B75C56" w:rsidRPr="00E135D5" w:rsidRDefault="00B75C56" w:rsidP="00B75C56">
            <w:pPr>
              <w:spacing w:after="0" w:line="240" w:lineRule="auto"/>
              <w:rPr>
                <w:rFonts w:ascii="Times New Roman" w:eastAsia="Times New Roman" w:hAnsi="Times New Roman" w:cs="Times New Roman"/>
                <w:sz w:val="24"/>
                <w:szCs w:val="24"/>
                <w:lang w:eastAsia="pt-BR"/>
              </w:rPr>
            </w:pPr>
          </w:p>
        </w:tc>
        <w:tc>
          <w:tcPr>
            <w:tcW w:w="3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7º IV a - FI de Renda Fixa</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40,00%</w:t>
            </w:r>
          </w:p>
        </w:tc>
        <w:tc>
          <w:tcPr>
            <w:tcW w:w="234" w:type="dxa"/>
            <w:tcBorders>
              <w:top w:val="nil"/>
              <w:left w:val="nil"/>
              <w:bottom w:val="nil"/>
              <w:right w:val="single" w:sz="8" w:space="0" w:color="auto"/>
            </w:tcBorders>
            <w:tcMar>
              <w:top w:w="0" w:type="dxa"/>
              <w:left w:w="108" w:type="dxa"/>
              <w:bottom w:w="0" w:type="dxa"/>
              <w:right w:w="108" w:type="dxa"/>
            </w:tcMar>
            <w:vAlign w:val="center"/>
            <w:hideMark/>
          </w:tcPr>
          <w:p w:rsidR="00B75C56" w:rsidRPr="00B75C56" w:rsidRDefault="00B75C56" w:rsidP="00B75C56">
            <w:pPr>
              <w:spacing w:before="100" w:beforeAutospacing="1" w:after="0" w:line="240" w:lineRule="auto"/>
              <w:jc w:val="center"/>
              <w:rPr>
                <w:rFonts w:ascii="Times New Roman" w:eastAsia="Times New Roman" w:hAnsi="Times New Roman" w:cs="Times New Roman"/>
                <w:color w:val="FF0000"/>
                <w:sz w:val="24"/>
                <w:szCs w:val="24"/>
                <w:lang w:eastAsia="pt-BR"/>
              </w:rPr>
            </w:pPr>
            <w:r w:rsidRPr="00B75C56">
              <w:rPr>
                <w:rFonts w:ascii="Arial" w:eastAsia="Times New Roman" w:hAnsi="Arial" w:cs="Arial"/>
                <w:b/>
                <w:bCs/>
                <w:color w:val="FF0000"/>
                <w:sz w:val="24"/>
                <w:szCs w:val="24"/>
                <w:lang w:eastAsia="pt-BR"/>
              </w:rPr>
              <w:t> </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4,06%</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17,32%</w:t>
            </w: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40,00%</w:t>
            </w:r>
          </w:p>
        </w:tc>
      </w:tr>
      <w:tr w:rsidR="00B75C56" w:rsidRPr="00B75C56" w:rsidTr="00B75C56">
        <w:trPr>
          <w:trHeight w:val="341"/>
        </w:trPr>
        <w:tc>
          <w:tcPr>
            <w:tcW w:w="0" w:type="auto"/>
            <w:vMerge/>
            <w:tcBorders>
              <w:top w:val="nil"/>
              <w:left w:val="single" w:sz="8" w:space="0" w:color="auto"/>
              <w:bottom w:val="single" w:sz="8" w:space="0" w:color="auto"/>
              <w:right w:val="single" w:sz="8" w:space="0" w:color="auto"/>
            </w:tcBorders>
            <w:vAlign w:val="center"/>
            <w:hideMark/>
          </w:tcPr>
          <w:p w:rsidR="00B75C56" w:rsidRPr="00E135D5" w:rsidRDefault="00B75C56" w:rsidP="00B75C56">
            <w:pPr>
              <w:spacing w:after="0" w:line="240" w:lineRule="auto"/>
              <w:rPr>
                <w:rFonts w:ascii="Times New Roman" w:eastAsia="Times New Roman" w:hAnsi="Times New Roman" w:cs="Times New Roman"/>
                <w:sz w:val="24"/>
                <w:szCs w:val="24"/>
                <w:lang w:eastAsia="pt-BR"/>
              </w:rPr>
            </w:pPr>
          </w:p>
        </w:tc>
        <w:tc>
          <w:tcPr>
            <w:tcW w:w="3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 xml:space="preserve">7º IV b - FI de </w:t>
            </w:r>
            <w:proofErr w:type="gramStart"/>
            <w:r w:rsidRPr="00E135D5">
              <w:rPr>
                <w:rFonts w:ascii="Arial" w:eastAsia="Times New Roman" w:hAnsi="Arial" w:cs="Arial"/>
                <w:sz w:val="16"/>
                <w:szCs w:val="16"/>
                <w:lang w:eastAsia="pt-BR"/>
              </w:rPr>
              <w:t>Índices Renda</w:t>
            </w:r>
            <w:proofErr w:type="gramEnd"/>
            <w:r w:rsidRPr="00E135D5">
              <w:rPr>
                <w:rFonts w:ascii="Arial" w:eastAsia="Times New Roman" w:hAnsi="Arial" w:cs="Arial"/>
                <w:sz w:val="16"/>
                <w:szCs w:val="16"/>
                <w:lang w:eastAsia="pt-BR"/>
              </w:rPr>
              <w:t xml:space="preserve"> Fixa</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40,00%</w:t>
            </w:r>
          </w:p>
        </w:tc>
        <w:tc>
          <w:tcPr>
            <w:tcW w:w="234" w:type="dxa"/>
            <w:tcBorders>
              <w:top w:val="nil"/>
              <w:left w:val="nil"/>
              <w:bottom w:val="nil"/>
              <w:right w:val="single" w:sz="8" w:space="0" w:color="auto"/>
            </w:tcBorders>
            <w:tcMar>
              <w:top w:w="0" w:type="dxa"/>
              <w:left w:w="108" w:type="dxa"/>
              <w:bottom w:w="0" w:type="dxa"/>
              <w:right w:w="108" w:type="dxa"/>
            </w:tcMar>
            <w:vAlign w:val="center"/>
            <w:hideMark/>
          </w:tcPr>
          <w:p w:rsidR="00B75C56" w:rsidRPr="00B75C56" w:rsidRDefault="00B75C56" w:rsidP="00B75C56">
            <w:pPr>
              <w:spacing w:before="100" w:beforeAutospacing="1" w:after="0" w:line="240" w:lineRule="auto"/>
              <w:jc w:val="center"/>
              <w:rPr>
                <w:rFonts w:ascii="Times New Roman" w:eastAsia="Times New Roman" w:hAnsi="Times New Roman" w:cs="Times New Roman"/>
                <w:color w:val="FF0000"/>
                <w:sz w:val="24"/>
                <w:szCs w:val="24"/>
                <w:lang w:eastAsia="pt-BR"/>
              </w:rPr>
            </w:pPr>
            <w:r w:rsidRPr="00B75C56">
              <w:rPr>
                <w:rFonts w:ascii="Arial" w:eastAsia="Times New Roman" w:hAnsi="Arial" w:cs="Arial"/>
                <w:b/>
                <w:bCs/>
                <w:color w:val="FF0000"/>
                <w:sz w:val="24"/>
                <w:szCs w:val="24"/>
                <w:lang w:eastAsia="pt-BR"/>
              </w:rPr>
              <w:t> </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0,00%</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0,00%</w:t>
            </w: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0,00%</w:t>
            </w:r>
          </w:p>
        </w:tc>
      </w:tr>
      <w:tr w:rsidR="00B75C56" w:rsidRPr="00B75C56" w:rsidTr="00B75C56">
        <w:trPr>
          <w:trHeight w:val="314"/>
        </w:trPr>
        <w:tc>
          <w:tcPr>
            <w:tcW w:w="0" w:type="auto"/>
            <w:vMerge/>
            <w:tcBorders>
              <w:top w:val="nil"/>
              <w:left w:val="single" w:sz="8" w:space="0" w:color="auto"/>
              <w:bottom w:val="single" w:sz="8" w:space="0" w:color="auto"/>
              <w:right w:val="single" w:sz="8" w:space="0" w:color="auto"/>
            </w:tcBorders>
            <w:vAlign w:val="center"/>
            <w:hideMark/>
          </w:tcPr>
          <w:p w:rsidR="00B75C56" w:rsidRPr="00E135D5" w:rsidRDefault="00B75C56" w:rsidP="00B75C56">
            <w:pPr>
              <w:spacing w:after="0" w:line="240" w:lineRule="auto"/>
              <w:rPr>
                <w:rFonts w:ascii="Times New Roman" w:eastAsia="Times New Roman" w:hAnsi="Times New Roman" w:cs="Times New Roman"/>
                <w:sz w:val="24"/>
                <w:szCs w:val="24"/>
                <w:lang w:eastAsia="pt-BR"/>
              </w:rPr>
            </w:pPr>
          </w:p>
        </w:tc>
        <w:tc>
          <w:tcPr>
            <w:tcW w:w="3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7º V b - Letras Imobiliárias Garantidas</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20,00%</w:t>
            </w:r>
          </w:p>
        </w:tc>
        <w:tc>
          <w:tcPr>
            <w:tcW w:w="234" w:type="dxa"/>
            <w:tcBorders>
              <w:top w:val="nil"/>
              <w:left w:val="nil"/>
              <w:bottom w:val="nil"/>
              <w:right w:val="single" w:sz="8" w:space="0" w:color="auto"/>
            </w:tcBorders>
            <w:tcMar>
              <w:top w:w="0" w:type="dxa"/>
              <w:left w:w="108" w:type="dxa"/>
              <w:bottom w:w="0" w:type="dxa"/>
              <w:right w:w="108" w:type="dxa"/>
            </w:tcMar>
            <w:vAlign w:val="center"/>
            <w:hideMark/>
          </w:tcPr>
          <w:p w:rsidR="00B75C56" w:rsidRPr="00B75C56" w:rsidRDefault="00B75C56" w:rsidP="00B75C56">
            <w:pPr>
              <w:spacing w:before="100" w:beforeAutospacing="1" w:after="0" w:line="240" w:lineRule="auto"/>
              <w:jc w:val="center"/>
              <w:rPr>
                <w:rFonts w:ascii="Times New Roman" w:eastAsia="Times New Roman" w:hAnsi="Times New Roman" w:cs="Times New Roman"/>
                <w:color w:val="FF0000"/>
                <w:sz w:val="24"/>
                <w:szCs w:val="24"/>
                <w:lang w:eastAsia="pt-BR"/>
              </w:rPr>
            </w:pPr>
            <w:r w:rsidRPr="00B75C56">
              <w:rPr>
                <w:rFonts w:ascii="Arial" w:eastAsia="Times New Roman" w:hAnsi="Arial" w:cs="Arial"/>
                <w:b/>
                <w:bCs/>
                <w:color w:val="FF0000"/>
                <w:sz w:val="24"/>
                <w:szCs w:val="24"/>
                <w:lang w:eastAsia="pt-BR"/>
              </w:rPr>
              <w:t> </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0,00%</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0,00%</w:t>
            </w: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0,00%</w:t>
            </w:r>
          </w:p>
        </w:tc>
      </w:tr>
      <w:tr w:rsidR="00B75C56" w:rsidRPr="00B75C56" w:rsidTr="00B75C56">
        <w:trPr>
          <w:trHeight w:val="341"/>
        </w:trPr>
        <w:tc>
          <w:tcPr>
            <w:tcW w:w="0" w:type="auto"/>
            <w:vMerge/>
            <w:tcBorders>
              <w:top w:val="nil"/>
              <w:left w:val="single" w:sz="8" w:space="0" w:color="auto"/>
              <w:bottom w:val="single" w:sz="8" w:space="0" w:color="auto"/>
              <w:right w:val="single" w:sz="8" w:space="0" w:color="auto"/>
            </w:tcBorders>
            <w:vAlign w:val="center"/>
            <w:hideMark/>
          </w:tcPr>
          <w:p w:rsidR="00B75C56" w:rsidRPr="00E135D5" w:rsidRDefault="00B75C56" w:rsidP="00B75C56">
            <w:pPr>
              <w:spacing w:after="0" w:line="240" w:lineRule="auto"/>
              <w:rPr>
                <w:rFonts w:ascii="Times New Roman" w:eastAsia="Times New Roman" w:hAnsi="Times New Roman" w:cs="Times New Roman"/>
                <w:sz w:val="24"/>
                <w:szCs w:val="24"/>
                <w:lang w:eastAsia="pt-BR"/>
              </w:rPr>
            </w:pPr>
          </w:p>
        </w:tc>
        <w:tc>
          <w:tcPr>
            <w:tcW w:w="3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7º VI a - Certificados de Dep. Bancários</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15,00%</w:t>
            </w:r>
          </w:p>
        </w:tc>
        <w:tc>
          <w:tcPr>
            <w:tcW w:w="234" w:type="dxa"/>
            <w:tcBorders>
              <w:top w:val="nil"/>
              <w:left w:val="nil"/>
              <w:bottom w:val="nil"/>
              <w:right w:val="single" w:sz="8" w:space="0" w:color="auto"/>
            </w:tcBorders>
            <w:tcMar>
              <w:top w:w="0" w:type="dxa"/>
              <w:left w:w="108" w:type="dxa"/>
              <w:bottom w:w="0" w:type="dxa"/>
              <w:right w:w="108" w:type="dxa"/>
            </w:tcMar>
            <w:vAlign w:val="center"/>
            <w:hideMark/>
          </w:tcPr>
          <w:p w:rsidR="00B75C56" w:rsidRPr="00B75C56" w:rsidRDefault="00B75C56" w:rsidP="00B75C56">
            <w:pPr>
              <w:spacing w:before="100" w:beforeAutospacing="1" w:after="0" w:line="240" w:lineRule="auto"/>
              <w:jc w:val="center"/>
              <w:rPr>
                <w:rFonts w:ascii="Times New Roman" w:eastAsia="Times New Roman" w:hAnsi="Times New Roman" w:cs="Times New Roman"/>
                <w:color w:val="FF0000"/>
                <w:sz w:val="24"/>
                <w:szCs w:val="24"/>
                <w:lang w:eastAsia="pt-BR"/>
              </w:rPr>
            </w:pPr>
            <w:r w:rsidRPr="00B75C56">
              <w:rPr>
                <w:rFonts w:ascii="Arial" w:eastAsia="Times New Roman" w:hAnsi="Arial" w:cs="Arial"/>
                <w:b/>
                <w:bCs/>
                <w:color w:val="FF0000"/>
                <w:sz w:val="24"/>
                <w:szCs w:val="24"/>
                <w:lang w:eastAsia="pt-BR"/>
              </w:rPr>
              <w:t> </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0,00%</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0,00%</w:t>
            </w: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0,00%</w:t>
            </w:r>
          </w:p>
        </w:tc>
      </w:tr>
      <w:tr w:rsidR="00B75C56" w:rsidRPr="00B75C56" w:rsidTr="00B75C56">
        <w:trPr>
          <w:trHeight w:val="314"/>
        </w:trPr>
        <w:tc>
          <w:tcPr>
            <w:tcW w:w="0" w:type="auto"/>
            <w:vMerge/>
            <w:tcBorders>
              <w:top w:val="nil"/>
              <w:left w:val="single" w:sz="8" w:space="0" w:color="auto"/>
              <w:bottom w:val="single" w:sz="8" w:space="0" w:color="auto"/>
              <w:right w:val="single" w:sz="8" w:space="0" w:color="auto"/>
            </w:tcBorders>
            <w:vAlign w:val="center"/>
            <w:hideMark/>
          </w:tcPr>
          <w:p w:rsidR="00B75C56" w:rsidRPr="00E135D5" w:rsidRDefault="00B75C56" w:rsidP="00B75C56">
            <w:pPr>
              <w:spacing w:after="0" w:line="240" w:lineRule="auto"/>
              <w:rPr>
                <w:rFonts w:ascii="Times New Roman" w:eastAsia="Times New Roman" w:hAnsi="Times New Roman" w:cs="Times New Roman"/>
                <w:sz w:val="24"/>
                <w:szCs w:val="24"/>
                <w:lang w:eastAsia="pt-BR"/>
              </w:rPr>
            </w:pPr>
          </w:p>
        </w:tc>
        <w:tc>
          <w:tcPr>
            <w:tcW w:w="3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7º VI b - Poupança</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15,00%</w:t>
            </w:r>
          </w:p>
        </w:tc>
        <w:tc>
          <w:tcPr>
            <w:tcW w:w="234" w:type="dxa"/>
            <w:tcBorders>
              <w:top w:val="nil"/>
              <w:left w:val="nil"/>
              <w:bottom w:val="nil"/>
              <w:right w:val="single" w:sz="8" w:space="0" w:color="auto"/>
            </w:tcBorders>
            <w:tcMar>
              <w:top w:w="0" w:type="dxa"/>
              <w:left w:w="108" w:type="dxa"/>
              <w:bottom w:w="0" w:type="dxa"/>
              <w:right w:w="108" w:type="dxa"/>
            </w:tcMar>
            <w:vAlign w:val="center"/>
            <w:hideMark/>
          </w:tcPr>
          <w:p w:rsidR="00B75C56" w:rsidRPr="00B75C56" w:rsidRDefault="00B75C56" w:rsidP="00B75C56">
            <w:pPr>
              <w:spacing w:before="100" w:beforeAutospacing="1" w:after="0" w:line="240" w:lineRule="auto"/>
              <w:jc w:val="center"/>
              <w:rPr>
                <w:rFonts w:ascii="Times New Roman" w:eastAsia="Times New Roman" w:hAnsi="Times New Roman" w:cs="Times New Roman"/>
                <w:color w:val="FF0000"/>
                <w:sz w:val="24"/>
                <w:szCs w:val="24"/>
                <w:lang w:eastAsia="pt-BR"/>
              </w:rPr>
            </w:pPr>
            <w:r w:rsidRPr="00B75C56">
              <w:rPr>
                <w:rFonts w:ascii="Arial" w:eastAsia="Times New Roman" w:hAnsi="Arial" w:cs="Arial"/>
                <w:b/>
                <w:bCs/>
                <w:color w:val="FF0000"/>
                <w:sz w:val="24"/>
                <w:szCs w:val="24"/>
                <w:lang w:eastAsia="pt-BR"/>
              </w:rPr>
              <w:t> </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0,00%</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0,00%</w:t>
            </w: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0,00%</w:t>
            </w:r>
          </w:p>
        </w:tc>
      </w:tr>
      <w:tr w:rsidR="00B75C56" w:rsidRPr="00B75C56" w:rsidTr="00B75C56">
        <w:trPr>
          <w:trHeight w:val="341"/>
        </w:trPr>
        <w:tc>
          <w:tcPr>
            <w:tcW w:w="0" w:type="auto"/>
            <w:vMerge/>
            <w:tcBorders>
              <w:top w:val="nil"/>
              <w:left w:val="single" w:sz="8" w:space="0" w:color="auto"/>
              <w:bottom w:val="single" w:sz="8" w:space="0" w:color="auto"/>
              <w:right w:val="single" w:sz="8" w:space="0" w:color="auto"/>
            </w:tcBorders>
            <w:vAlign w:val="center"/>
            <w:hideMark/>
          </w:tcPr>
          <w:p w:rsidR="00B75C56" w:rsidRPr="00E135D5" w:rsidRDefault="00B75C56" w:rsidP="00B75C56">
            <w:pPr>
              <w:spacing w:after="0" w:line="240" w:lineRule="auto"/>
              <w:rPr>
                <w:rFonts w:ascii="Times New Roman" w:eastAsia="Times New Roman" w:hAnsi="Times New Roman" w:cs="Times New Roman"/>
                <w:sz w:val="24"/>
                <w:szCs w:val="24"/>
                <w:lang w:eastAsia="pt-BR"/>
              </w:rPr>
            </w:pPr>
          </w:p>
        </w:tc>
        <w:tc>
          <w:tcPr>
            <w:tcW w:w="3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7º VII a - FI em Direitos Creditórios - sênior</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5,00%</w:t>
            </w:r>
          </w:p>
        </w:tc>
        <w:tc>
          <w:tcPr>
            <w:tcW w:w="234" w:type="dxa"/>
            <w:tcBorders>
              <w:top w:val="nil"/>
              <w:left w:val="nil"/>
              <w:bottom w:val="nil"/>
              <w:right w:val="single" w:sz="8" w:space="0" w:color="auto"/>
            </w:tcBorders>
            <w:tcMar>
              <w:top w:w="0" w:type="dxa"/>
              <w:left w:w="108" w:type="dxa"/>
              <w:bottom w:w="0" w:type="dxa"/>
              <w:right w:w="108" w:type="dxa"/>
            </w:tcMar>
            <w:vAlign w:val="center"/>
            <w:hideMark/>
          </w:tcPr>
          <w:p w:rsidR="00B75C56" w:rsidRPr="00B75C56" w:rsidRDefault="00B75C56" w:rsidP="00B75C56">
            <w:pPr>
              <w:spacing w:before="100" w:beforeAutospacing="1" w:after="0" w:line="240" w:lineRule="auto"/>
              <w:jc w:val="center"/>
              <w:rPr>
                <w:rFonts w:ascii="Times New Roman" w:eastAsia="Times New Roman" w:hAnsi="Times New Roman" w:cs="Times New Roman"/>
                <w:color w:val="FF0000"/>
                <w:sz w:val="24"/>
                <w:szCs w:val="24"/>
                <w:lang w:eastAsia="pt-BR"/>
              </w:rPr>
            </w:pPr>
            <w:r w:rsidRPr="00B75C56">
              <w:rPr>
                <w:rFonts w:ascii="Arial" w:eastAsia="Times New Roman" w:hAnsi="Arial" w:cs="Arial"/>
                <w:b/>
                <w:bCs/>
                <w:color w:val="FF0000"/>
                <w:sz w:val="24"/>
                <w:szCs w:val="24"/>
                <w:lang w:eastAsia="pt-BR"/>
              </w:rPr>
              <w:t> </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0,00%</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0,00%</w:t>
            </w: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0,00%</w:t>
            </w:r>
          </w:p>
        </w:tc>
      </w:tr>
      <w:tr w:rsidR="00B75C56" w:rsidRPr="00B75C56" w:rsidTr="00B75C56">
        <w:trPr>
          <w:trHeight w:val="314"/>
        </w:trPr>
        <w:tc>
          <w:tcPr>
            <w:tcW w:w="0" w:type="auto"/>
            <w:vMerge/>
            <w:tcBorders>
              <w:top w:val="nil"/>
              <w:left w:val="single" w:sz="8" w:space="0" w:color="auto"/>
              <w:bottom w:val="single" w:sz="8" w:space="0" w:color="auto"/>
              <w:right w:val="single" w:sz="8" w:space="0" w:color="auto"/>
            </w:tcBorders>
            <w:vAlign w:val="center"/>
            <w:hideMark/>
          </w:tcPr>
          <w:p w:rsidR="00B75C56" w:rsidRPr="00E135D5" w:rsidRDefault="00B75C56" w:rsidP="00B75C56">
            <w:pPr>
              <w:spacing w:after="0" w:line="240" w:lineRule="auto"/>
              <w:rPr>
                <w:rFonts w:ascii="Times New Roman" w:eastAsia="Times New Roman" w:hAnsi="Times New Roman" w:cs="Times New Roman"/>
                <w:sz w:val="24"/>
                <w:szCs w:val="24"/>
                <w:lang w:eastAsia="pt-BR"/>
              </w:rPr>
            </w:pPr>
          </w:p>
        </w:tc>
        <w:tc>
          <w:tcPr>
            <w:tcW w:w="3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7º VII b - FI Renda Fixa "Crédito Privado"</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5,00%</w:t>
            </w:r>
          </w:p>
        </w:tc>
        <w:tc>
          <w:tcPr>
            <w:tcW w:w="234" w:type="dxa"/>
            <w:tcBorders>
              <w:top w:val="nil"/>
              <w:left w:val="nil"/>
              <w:bottom w:val="nil"/>
              <w:right w:val="single" w:sz="8" w:space="0" w:color="auto"/>
            </w:tcBorders>
            <w:tcMar>
              <w:top w:w="0" w:type="dxa"/>
              <w:left w:w="108" w:type="dxa"/>
              <w:bottom w:w="0" w:type="dxa"/>
              <w:right w:w="108" w:type="dxa"/>
            </w:tcMar>
            <w:vAlign w:val="center"/>
            <w:hideMark/>
          </w:tcPr>
          <w:p w:rsidR="00B75C56" w:rsidRPr="00B75C56" w:rsidRDefault="00B75C56" w:rsidP="00B75C56">
            <w:pPr>
              <w:spacing w:before="100" w:beforeAutospacing="1" w:after="0" w:line="240" w:lineRule="auto"/>
              <w:jc w:val="center"/>
              <w:rPr>
                <w:rFonts w:ascii="Times New Roman" w:eastAsia="Times New Roman" w:hAnsi="Times New Roman" w:cs="Times New Roman"/>
                <w:color w:val="FF0000"/>
                <w:sz w:val="24"/>
                <w:szCs w:val="24"/>
                <w:lang w:eastAsia="pt-BR"/>
              </w:rPr>
            </w:pPr>
            <w:r w:rsidRPr="00B75C56">
              <w:rPr>
                <w:rFonts w:ascii="Arial" w:eastAsia="Times New Roman" w:hAnsi="Arial" w:cs="Arial"/>
                <w:b/>
                <w:bCs/>
                <w:color w:val="FF0000"/>
                <w:sz w:val="24"/>
                <w:szCs w:val="24"/>
                <w:lang w:eastAsia="pt-BR"/>
              </w:rPr>
              <w:t> </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0,00%</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0,00%</w:t>
            </w: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0,00%</w:t>
            </w:r>
          </w:p>
        </w:tc>
      </w:tr>
      <w:tr w:rsidR="00B75C56" w:rsidRPr="00B75C56" w:rsidTr="00B75C56">
        <w:trPr>
          <w:trHeight w:val="314"/>
        </w:trPr>
        <w:tc>
          <w:tcPr>
            <w:tcW w:w="0" w:type="auto"/>
            <w:vMerge/>
            <w:tcBorders>
              <w:top w:val="nil"/>
              <w:left w:val="single" w:sz="8" w:space="0" w:color="auto"/>
              <w:bottom w:val="single" w:sz="8" w:space="0" w:color="auto"/>
              <w:right w:val="single" w:sz="8" w:space="0" w:color="auto"/>
            </w:tcBorders>
            <w:vAlign w:val="center"/>
            <w:hideMark/>
          </w:tcPr>
          <w:p w:rsidR="00B75C56" w:rsidRPr="00E135D5" w:rsidRDefault="00B75C56" w:rsidP="00B75C56">
            <w:pPr>
              <w:spacing w:after="0" w:line="240" w:lineRule="auto"/>
              <w:rPr>
                <w:rFonts w:ascii="Times New Roman" w:eastAsia="Times New Roman" w:hAnsi="Times New Roman" w:cs="Times New Roman"/>
                <w:sz w:val="24"/>
                <w:szCs w:val="24"/>
                <w:lang w:eastAsia="pt-BR"/>
              </w:rPr>
            </w:pPr>
          </w:p>
        </w:tc>
        <w:tc>
          <w:tcPr>
            <w:tcW w:w="3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 xml:space="preserve">7º VII c - FI de Debêntures </w:t>
            </w:r>
            <w:proofErr w:type="spellStart"/>
            <w:r w:rsidRPr="00E135D5">
              <w:rPr>
                <w:rFonts w:ascii="Arial" w:eastAsia="Times New Roman" w:hAnsi="Arial" w:cs="Arial"/>
                <w:sz w:val="16"/>
                <w:szCs w:val="16"/>
                <w:lang w:eastAsia="pt-BR"/>
              </w:rPr>
              <w:t>Infraestrutura</w:t>
            </w:r>
            <w:proofErr w:type="spellEnd"/>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5,00%</w:t>
            </w:r>
          </w:p>
        </w:tc>
        <w:tc>
          <w:tcPr>
            <w:tcW w:w="234" w:type="dxa"/>
            <w:tcBorders>
              <w:top w:val="nil"/>
              <w:left w:val="nil"/>
              <w:bottom w:val="nil"/>
              <w:right w:val="single" w:sz="8" w:space="0" w:color="auto"/>
            </w:tcBorders>
            <w:tcMar>
              <w:top w:w="0" w:type="dxa"/>
              <w:left w:w="108" w:type="dxa"/>
              <w:bottom w:w="0" w:type="dxa"/>
              <w:right w:w="108" w:type="dxa"/>
            </w:tcMar>
            <w:vAlign w:val="center"/>
            <w:hideMark/>
          </w:tcPr>
          <w:p w:rsidR="00B75C56" w:rsidRPr="00B75C56" w:rsidRDefault="00B75C56" w:rsidP="00B75C56">
            <w:pPr>
              <w:spacing w:before="100" w:beforeAutospacing="1" w:after="0" w:line="240" w:lineRule="auto"/>
              <w:jc w:val="center"/>
              <w:rPr>
                <w:rFonts w:ascii="Times New Roman" w:eastAsia="Times New Roman" w:hAnsi="Times New Roman" w:cs="Times New Roman"/>
                <w:color w:val="FF0000"/>
                <w:sz w:val="24"/>
                <w:szCs w:val="24"/>
                <w:lang w:eastAsia="pt-BR"/>
              </w:rPr>
            </w:pPr>
            <w:r w:rsidRPr="00B75C56">
              <w:rPr>
                <w:rFonts w:ascii="Arial" w:eastAsia="Times New Roman" w:hAnsi="Arial" w:cs="Arial"/>
                <w:b/>
                <w:bCs/>
                <w:color w:val="FF0000"/>
                <w:sz w:val="24"/>
                <w:szCs w:val="24"/>
                <w:lang w:eastAsia="pt-BR"/>
              </w:rPr>
              <w:t> </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0,00%</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0,00%</w:t>
            </w: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0,00%</w:t>
            </w:r>
          </w:p>
        </w:tc>
      </w:tr>
      <w:tr w:rsidR="00B75C56" w:rsidRPr="00B75C56" w:rsidTr="00B75C56">
        <w:trPr>
          <w:trHeight w:val="341"/>
        </w:trPr>
        <w:tc>
          <w:tcPr>
            <w:tcW w:w="1002" w:type="dxa"/>
            <w:tcBorders>
              <w:top w:val="nil"/>
              <w:left w:val="nil"/>
              <w:bottom w:val="nil"/>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b/>
                <w:bCs/>
                <w:sz w:val="16"/>
                <w:szCs w:val="16"/>
                <w:lang w:eastAsia="pt-BR"/>
              </w:rPr>
              <w:t> </w:t>
            </w:r>
          </w:p>
        </w:tc>
        <w:tc>
          <w:tcPr>
            <w:tcW w:w="339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rPr>
                <w:rFonts w:ascii="Times New Roman" w:eastAsia="Times New Roman" w:hAnsi="Times New Roman" w:cs="Times New Roman"/>
                <w:sz w:val="24"/>
                <w:szCs w:val="24"/>
                <w:lang w:eastAsia="pt-BR"/>
              </w:rPr>
            </w:pPr>
            <w:r w:rsidRPr="00E135D5">
              <w:rPr>
                <w:rFonts w:ascii="Arial" w:eastAsia="Times New Roman" w:hAnsi="Arial" w:cs="Arial"/>
                <w:b/>
                <w:bCs/>
                <w:sz w:val="16"/>
                <w:szCs w:val="16"/>
                <w:lang w:eastAsia="pt-BR"/>
              </w:rPr>
              <w:t xml:space="preserve">Limite de Renda Fixa </w:t>
            </w:r>
          </w:p>
        </w:tc>
        <w:tc>
          <w:tcPr>
            <w:tcW w:w="132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b/>
                <w:bCs/>
                <w:sz w:val="16"/>
                <w:szCs w:val="16"/>
                <w:lang w:eastAsia="pt-BR"/>
              </w:rPr>
              <w:t>100,00%</w:t>
            </w:r>
          </w:p>
        </w:tc>
        <w:tc>
          <w:tcPr>
            <w:tcW w:w="234" w:type="dxa"/>
            <w:tcBorders>
              <w:top w:val="nil"/>
              <w:left w:val="nil"/>
              <w:bottom w:val="nil"/>
              <w:right w:val="single" w:sz="8" w:space="0" w:color="auto"/>
            </w:tcBorders>
            <w:tcMar>
              <w:top w:w="0" w:type="dxa"/>
              <w:left w:w="108" w:type="dxa"/>
              <w:bottom w:w="0" w:type="dxa"/>
              <w:right w:w="108" w:type="dxa"/>
            </w:tcMar>
            <w:vAlign w:val="center"/>
            <w:hideMark/>
          </w:tcPr>
          <w:p w:rsidR="00B75C56" w:rsidRPr="00B75C56" w:rsidRDefault="00B75C56" w:rsidP="00B75C56">
            <w:pPr>
              <w:spacing w:before="100" w:beforeAutospacing="1" w:after="0" w:line="240" w:lineRule="auto"/>
              <w:jc w:val="center"/>
              <w:rPr>
                <w:rFonts w:ascii="Times New Roman" w:eastAsia="Times New Roman" w:hAnsi="Times New Roman" w:cs="Times New Roman"/>
                <w:color w:val="FF0000"/>
                <w:sz w:val="24"/>
                <w:szCs w:val="24"/>
                <w:lang w:eastAsia="pt-BR"/>
              </w:rPr>
            </w:pPr>
            <w:r w:rsidRPr="00B75C56">
              <w:rPr>
                <w:rFonts w:ascii="Arial" w:eastAsia="Times New Roman" w:hAnsi="Arial" w:cs="Arial"/>
                <w:b/>
                <w:bCs/>
                <w:color w:val="FF0000"/>
                <w:sz w:val="24"/>
                <w:szCs w:val="24"/>
                <w:lang w:eastAsia="pt-BR"/>
              </w:rPr>
              <w:t> </w:t>
            </w:r>
          </w:p>
        </w:tc>
        <w:tc>
          <w:tcPr>
            <w:tcW w:w="132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b/>
                <w:bCs/>
                <w:sz w:val="16"/>
                <w:szCs w:val="16"/>
                <w:lang w:eastAsia="pt-BR"/>
              </w:rPr>
              <w:t>12,29%</w:t>
            </w:r>
          </w:p>
        </w:tc>
        <w:tc>
          <w:tcPr>
            <w:tcW w:w="132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b/>
                <w:bCs/>
                <w:sz w:val="16"/>
                <w:szCs w:val="16"/>
                <w:lang w:eastAsia="pt-BR"/>
              </w:rPr>
              <w:t>74,86%</w:t>
            </w:r>
          </w:p>
        </w:tc>
        <w:tc>
          <w:tcPr>
            <w:tcW w:w="133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b/>
                <w:bCs/>
                <w:sz w:val="16"/>
                <w:szCs w:val="16"/>
                <w:lang w:eastAsia="pt-BR"/>
              </w:rPr>
              <w:t>126,43%</w:t>
            </w:r>
          </w:p>
        </w:tc>
      </w:tr>
      <w:tr w:rsidR="00B75C56" w:rsidRPr="00B75C56" w:rsidTr="00B75C56">
        <w:trPr>
          <w:trHeight w:val="314"/>
        </w:trPr>
        <w:tc>
          <w:tcPr>
            <w:tcW w:w="1002" w:type="dxa"/>
            <w:tcBorders>
              <w:top w:val="nil"/>
              <w:left w:val="nil"/>
              <w:bottom w:val="single" w:sz="8" w:space="0" w:color="auto"/>
              <w:right w:val="nil"/>
            </w:tcBorders>
            <w:tcMar>
              <w:top w:w="0" w:type="dxa"/>
              <w:left w:w="108" w:type="dxa"/>
              <w:bottom w:w="0" w:type="dxa"/>
              <w:right w:w="108" w:type="dxa"/>
            </w:tcMar>
            <w:vAlign w:val="center"/>
            <w:hideMark/>
          </w:tcPr>
          <w:p w:rsidR="00B75C56" w:rsidRPr="00B75C56" w:rsidRDefault="00B75C56" w:rsidP="00B75C56">
            <w:pPr>
              <w:spacing w:before="100" w:beforeAutospacing="1" w:after="0" w:line="240" w:lineRule="auto"/>
              <w:jc w:val="center"/>
              <w:rPr>
                <w:rFonts w:ascii="Times New Roman" w:eastAsia="Times New Roman" w:hAnsi="Times New Roman" w:cs="Times New Roman"/>
                <w:color w:val="FF0000"/>
                <w:sz w:val="24"/>
                <w:szCs w:val="24"/>
                <w:lang w:eastAsia="pt-BR"/>
              </w:rPr>
            </w:pPr>
            <w:r w:rsidRPr="00B75C56">
              <w:rPr>
                <w:rFonts w:ascii="Arial" w:eastAsia="Times New Roman" w:hAnsi="Arial" w:cs="Arial"/>
                <w:b/>
                <w:bCs/>
                <w:color w:val="FF0000"/>
                <w:sz w:val="16"/>
                <w:szCs w:val="16"/>
                <w:lang w:eastAsia="pt-BR"/>
              </w:rPr>
              <w:t> </w:t>
            </w:r>
          </w:p>
        </w:tc>
        <w:tc>
          <w:tcPr>
            <w:tcW w:w="3390" w:type="dxa"/>
            <w:tcBorders>
              <w:top w:val="nil"/>
              <w:left w:val="nil"/>
              <w:bottom w:val="single" w:sz="8" w:space="0" w:color="auto"/>
              <w:right w:val="nil"/>
            </w:tcBorders>
            <w:tcMar>
              <w:top w:w="0" w:type="dxa"/>
              <w:left w:w="108" w:type="dxa"/>
              <w:bottom w:w="0" w:type="dxa"/>
              <w:right w:w="108" w:type="dxa"/>
            </w:tcMar>
            <w:vAlign w:val="center"/>
            <w:hideMark/>
          </w:tcPr>
          <w:p w:rsidR="00B75C56" w:rsidRPr="00B75C56" w:rsidRDefault="00B75C56" w:rsidP="00B75C56">
            <w:pPr>
              <w:spacing w:before="100" w:beforeAutospacing="1" w:after="0" w:line="240" w:lineRule="auto"/>
              <w:rPr>
                <w:rFonts w:ascii="Times New Roman" w:eastAsia="Times New Roman" w:hAnsi="Times New Roman" w:cs="Times New Roman"/>
                <w:color w:val="FF0000"/>
                <w:sz w:val="24"/>
                <w:szCs w:val="24"/>
                <w:lang w:eastAsia="pt-BR"/>
              </w:rPr>
            </w:pPr>
            <w:r w:rsidRPr="00B75C56">
              <w:rPr>
                <w:rFonts w:ascii="Arial" w:eastAsia="Times New Roman" w:hAnsi="Arial" w:cs="Arial"/>
                <w:b/>
                <w:bCs/>
                <w:color w:val="FF0000"/>
                <w:sz w:val="24"/>
                <w:szCs w:val="24"/>
                <w:lang w:eastAsia="pt-BR"/>
              </w:rPr>
              <w:t> </w:t>
            </w:r>
          </w:p>
        </w:tc>
        <w:tc>
          <w:tcPr>
            <w:tcW w:w="1327" w:type="dxa"/>
            <w:tcBorders>
              <w:top w:val="nil"/>
              <w:left w:val="nil"/>
              <w:bottom w:val="single" w:sz="8" w:space="0" w:color="auto"/>
              <w:right w:val="nil"/>
            </w:tcBorders>
            <w:tcMar>
              <w:top w:w="0" w:type="dxa"/>
              <w:left w:w="108" w:type="dxa"/>
              <w:bottom w:w="0" w:type="dxa"/>
              <w:right w:w="108" w:type="dxa"/>
            </w:tcMar>
            <w:vAlign w:val="center"/>
            <w:hideMark/>
          </w:tcPr>
          <w:p w:rsidR="00B75C56" w:rsidRPr="00B75C56" w:rsidRDefault="00B75C56" w:rsidP="00B75C56">
            <w:pPr>
              <w:spacing w:before="100" w:beforeAutospacing="1" w:after="0" w:line="240" w:lineRule="auto"/>
              <w:jc w:val="center"/>
              <w:rPr>
                <w:rFonts w:ascii="Times New Roman" w:eastAsia="Times New Roman" w:hAnsi="Times New Roman" w:cs="Times New Roman"/>
                <w:color w:val="FF0000"/>
                <w:sz w:val="24"/>
                <w:szCs w:val="24"/>
                <w:lang w:eastAsia="pt-BR"/>
              </w:rPr>
            </w:pPr>
            <w:r w:rsidRPr="00B75C56">
              <w:rPr>
                <w:rFonts w:ascii="Arial" w:eastAsia="Times New Roman" w:hAnsi="Arial" w:cs="Arial"/>
                <w:b/>
                <w:bCs/>
                <w:color w:val="FF0000"/>
                <w:sz w:val="24"/>
                <w:szCs w:val="24"/>
                <w:lang w:eastAsia="pt-BR"/>
              </w:rPr>
              <w:t> </w:t>
            </w:r>
          </w:p>
        </w:tc>
        <w:tc>
          <w:tcPr>
            <w:tcW w:w="234" w:type="dxa"/>
            <w:tcBorders>
              <w:top w:val="nil"/>
              <w:left w:val="nil"/>
              <w:bottom w:val="nil"/>
              <w:right w:val="nil"/>
            </w:tcBorders>
            <w:tcMar>
              <w:top w:w="0" w:type="dxa"/>
              <w:left w:w="108" w:type="dxa"/>
              <w:bottom w:w="0" w:type="dxa"/>
              <w:right w:w="108" w:type="dxa"/>
            </w:tcMar>
            <w:vAlign w:val="center"/>
            <w:hideMark/>
          </w:tcPr>
          <w:p w:rsidR="00B75C56" w:rsidRPr="00B75C56" w:rsidRDefault="00B75C56" w:rsidP="00B75C56">
            <w:pPr>
              <w:spacing w:before="100" w:beforeAutospacing="1" w:after="0" w:line="240" w:lineRule="auto"/>
              <w:jc w:val="center"/>
              <w:rPr>
                <w:rFonts w:ascii="Times New Roman" w:eastAsia="Times New Roman" w:hAnsi="Times New Roman" w:cs="Times New Roman"/>
                <w:color w:val="FF0000"/>
                <w:sz w:val="24"/>
                <w:szCs w:val="24"/>
                <w:lang w:eastAsia="pt-BR"/>
              </w:rPr>
            </w:pPr>
            <w:r w:rsidRPr="00B75C56">
              <w:rPr>
                <w:rFonts w:ascii="Arial" w:eastAsia="Times New Roman" w:hAnsi="Arial" w:cs="Arial"/>
                <w:b/>
                <w:bCs/>
                <w:color w:val="FF0000"/>
                <w:sz w:val="24"/>
                <w:szCs w:val="24"/>
                <w:lang w:eastAsia="pt-BR"/>
              </w:rPr>
              <w:t> </w:t>
            </w:r>
          </w:p>
        </w:tc>
        <w:tc>
          <w:tcPr>
            <w:tcW w:w="1327" w:type="dxa"/>
            <w:tcBorders>
              <w:top w:val="nil"/>
              <w:left w:val="nil"/>
              <w:bottom w:val="single" w:sz="8" w:space="0" w:color="auto"/>
              <w:right w:val="nil"/>
            </w:tcBorders>
            <w:tcMar>
              <w:top w:w="0" w:type="dxa"/>
              <w:left w:w="108" w:type="dxa"/>
              <w:bottom w:w="0" w:type="dxa"/>
              <w:right w:w="108" w:type="dxa"/>
            </w:tcMar>
            <w:vAlign w:val="center"/>
            <w:hideMark/>
          </w:tcPr>
          <w:p w:rsidR="00B75C56" w:rsidRPr="00B75C56" w:rsidRDefault="00B75C56" w:rsidP="00B75C56">
            <w:pPr>
              <w:spacing w:before="100" w:beforeAutospacing="1" w:after="0" w:line="240" w:lineRule="auto"/>
              <w:jc w:val="center"/>
              <w:rPr>
                <w:rFonts w:ascii="Times New Roman" w:eastAsia="Times New Roman" w:hAnsi="Times New Roman" w:cs="Times New Roman"/>
                <w:color w:val="FF0000"/>
                <w:sz w:val="24"/>
                <w:szCs w:val="24"/>
                <w:lang w:eastAsia="pt-BR"/>
              </w:rPr>
            </w:pPr>
            <w:r w:rsidRPr="00B75C56">
              <w:rPr>
                <w:rFonts w:ascii="Arial" w:eastAsia="Times New Roman" w:hAnsi="Arial" w:cs="Arial"/>
                <w:b/>
                <w:bCs/>
                <w:color w:val="FF0000"/>
                <w:sz w:val="24"/>
                <w:szCs w:val="24"/>
                <w:lang w:eastAsia="pt-BR"/>
              </w:rPr>
              <w:t> </w:t>
            </w:r>
          </w:p>
        </w:tc>
        <w:tc>
          <w:tcPr>
            <w:tcW w:w="1327" w:type="dxa"/>
            <w:tcBorders>
              <w:top w:val="nil"/>
              <w:left w:val="nil"/>
              <w:bottom w:val="single" w:sz="8" w:space="0" w:color="auto"/>
              <w:right w:val="nil"/>
            </w:tcBorders>
            <w:tcMar>
              <w:top w:w="0" w:type="dxa"/>
              <w:left w:w="108" w:type="dxa"/>
              <w:bottom w:w="0" w:type="dxa"/>
              <w:right w:w="108" w:type="dxa"/>
            </w:tcMar>
            <w:vAlign w:val="center"/>
            <w:hideMark/>
          </w:tcPr>
          <w:p w:rsidR="00B75C56" w:rsidRPr="00B75C56" w:rsidRDefault="00B75C56" w:rsidP="00B75C56">
            <w:pPr>
              <w:spacing w:before="100" w:beforeAutospacing="1" w:after="0" w:line="240" w:lineRule="auto"/>
              <w:jc w:val="center"/>
              <w:rPr>
                <w:rFonts w:ascii="Times New Roman" w:eastAsia="Times New Roman" w:hAnsi="Times New Roman" w:cs="Times New Roman"/>
                <w:color w:val="FF0000"/>
                <w:sz w:val="24"/>
                <w:szCs w:val="24"/>
                <w:lang w:eastAsia="pt-BR"/>
              </w:rPr>
            </w:pPr>
            <w:r w:rsidRPr="00B75C56">
              <w:rPr>
                <w:rFonts w:ascii="Arial" w:eastAsia="Times New Roman" w:hAnsi="Arial" w:cs="Arial"/>
                <w:b/>
                <w:bCs/>
                <w:color w:val="FF0000"/>
                <w:sz w:val="24"/>
                <w:szCs w:val="24"/>
                <w:lang w:eastAsia="pt-BR"/>
              </w:rPr>
              <w:t> </w:t>
            </w:r>
          </w:p>
        </w:tc>
        <w:tc>
          <w:tcPr>
            <w:tcW w:w="1330" w:type="dxa"/>
            <w:tcBorders>
              <w:top w:val="nil"/>
              <w:left w:val="nil"/>
              <w:bottom w:val="single" w:sz="8" w:space="0" w:color="auto"/>
              <w:right w:val="nil"/>
            </w:tcBorders>
            <w:tcMar>
              <w:top w:w="0" w:type="dxa"/>
              <w:left w:w="108" w:type="dxa"/>
              <w:bottom w:w="0" w:type="dxa"/>
              <w:right w:w="108" w:type="dxa"/>
            </w:tcMar>
            <w:vAlign w:val="center"/>
            <w:hideMark/>
          </w:tcPr>
          <w:p w:rsidR="00B75C56" w:rsidRPr="00B75C56" w:rsidRDefault="00B75C56" w:rsidP="00B75C56">
            <w:pPr>
              <w:spacing w:before="100" w:beforeAutospacing="1" w:after="0" w:line="240" w:lineRule="auto"/>
              <w:jc w:val="center"/>
              <w:rPr>
                <w:rFonts w:ascii="Times New Roman" w:eastAsia="Times New Roman" w:hAnsi="Times New Roman" w:cs="Times New Roman"/>
                <w:color w:val="FF0000"/>
                <w:sz w:val="24"/>
                <w:szCs w:val="24"/>
                <w:lang w:eastAsia="pt-BR"/>
              </w:rPr>
            </w:pPr>
            <w:r w:rsidRPr="00B75C56">
              <w:rPr>
                <w:rFonts w:ascii="Arial" w:eastAsia="Times New Roman" w:hAnsi="Arial" w:cs="Arial"/>
                <w:b/>
                <w:bCs/>
                <w:color w:val="FF0000"/>
                <w:sz w:val="24"/>
                <w:szCs w:val="24"/>
                <w:lang w:eastAsia="pt-BR"/>
              </w:rPr>
              <w:t> </w:t>
            </w:r>
          </w:p>
        </w:tc>
      </w:tr>
      <w:tr w:rsidR="00B75C56" w:rsidRPr="00B75C56" w:rsidTr="00B75C56">
        <w:trPr>
          <w:trHeight w:val="341"/>
        </w:trPr>
        <w:tc>
          <w:tcPr>
            <w:tcW w:w="1002" w:type="dxa"/>
            <w:vMerge w:val="restar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b/>
                <w:bCs/>
                <w:sz w:val="16"/>
                <w:szCs w:val="16"/>
                <w:lang w:eastAsia="pt-BR"/>
              </w:rPr>
              <w:t>Renda Variável</w:t>
            </w:r>
          </w:p>
        </w:tc>
        <w:tc>
          <w:tcPr>
            <w:tcW w:w="3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 xml:space="preserve">8º I a - FI </w:t>
            </w:r>
            <w:proofErr w:type="spellStart"/>
            <w:r w:rsidRPr="00E135D5">
              <w:rPr>
                <w:rFonts w:ascii="Arial" w:eastAsia="Times New Roman" w:hAnsi="Arial" w:cs="Arial"/>
                <w:sz w:val="16"/>
                <w:szCs w:val="16"/>
                <w:lang w:eastAsia="pt-BR"/>
              </w:rPr>
              <w:t>Ref</w:t>
            </w:r>
            <w:proofErr w:type="spellEnd"/>
            <w:r w:rsidRPr="00E135D5">
              <w:rPr>
                <w:rFonts w:ascii="Arial" w:eastAsia="Times New Roman" w:hAnsi="Arial" w:cs="Arial"/>
                <w:sz w:val="16"/>
                <w:szCs w:val="16"/>
                <w:lang w:eastAsia="pt-BR"/>
              </w:rPr>
              <w:t xml:space="preserve"> em Renda Variável</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30,00%</w:t>
            </w:r>
          </w:p>
        </w:tc>
        <w:tc>
          <w:tcPr>
            <w:tcW w:w="234" w:type="dxa"/>
            <w:tcBorders>
              <w:top w:val="nil"/>
              <w:left w:val="nil"/>
              <w:bottom w:val="nil"/>
              <w:right w:val="single" w:sz="8" w:space="0" w:color="auto"/>
            </w:tcBorders>
            <w:tcMar>
              <w:top w:w="0" w:type="dxa"/>
              <w:left w:w="108" w:type="dxa"/>
              <w:bottom w:w="0" w:type="dxa"/>
              <w:right w:w="108" w:type="dxa"/>
            </w:tcMar>
            <w:vAlign w:val="center"/>
            <w:hideMark/>
          </w:tcPr>
          <w:p w:rsidR="00B75C56" w:rsidRPr="00B75C56" w:rsidRDefault="00B75C56" w:rsidP="00B75C56">
            <w:pPr>
              <w:spacing w:before="100" w:beforeAutospacing="1" w:after="0" w:line="240" w:lineRule="auto"/>
              <w:jc w:val="center"/>
              <w:rPr>
                <w:rFonts w:ascii="Times New Roman" w:eastAsia="Times New Roman" w:hAnsi="Times New Roman" w:cs="Times New Roman"/>
                <w:color w:val="FF0000"/>
                <w:sz w:val="24"/>
                <w:szCs w:val="24"/>
                <w:lang w:eastAsia="pt-BR"/>
              </w:rPr>
            </w:pPr>
            <w:r w:rsidRPr="00B75C56">
              <w:rPr>
                <w:rFonts w:ascii="Arial" w:eastAsia="Times New Roman" w:hAnsi="Arial" w:cs="Arial"/>
                <w:b/>
                <w:bCs/>
                <w:color w:val="FF0000"/>
                <w:sz w:val="24"/>
                <w:szCs w:val="24"/>
                <w:lang w:eastAsia="pt-BR"/>
              </w:rPr>
              <w:t> </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0,00%</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0,00%</w:t>
            </w: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0,00%</w:t>
            </w:r>
          </w:p>
        </w:tc>
      </w:tr>
      <w:tr w:rsidR="00B75C56" w:rsidRPr="00B75C56" w:rsidTr="00B75C56">
        <w:trPr>
          <w:trHeight w:val="314"/>
        </w:trPr>
        <w:tc>
          <w:tcPr>
            <w:tcW w:w="0" w:type="auto"/>
            <w:vMerge/>
            <w:tcBorders>
              <w:top w:val="nil"/>
              <w:left w:val="single" w:sz="8" w:space="0" w:color="auto"/>
              <w:bottom w:val="single" w:sz="8" w:space="0" w:color="auto"/>
              <w:right w:val="single" w:sz="8" w:space="0" w:color="auto"/>
            </w:tcBorders>
            <w:vAlign w:val="center"/>
            <w:hideMark/>
          </w:tcPr>
          <w:p w:rsidR="00B75C56" w:rsidRPr="00E135D5" w:rsidRDefault="00B75C56" w:rsidP="00B75C56">
            <w:pPr>
              <w:spacing w:after="0" w:line="240" w:lineRule="auto"/>
              <w:rPr>
                <w:rFonts w:ascii="Times New Roman" w:eastAsia="Times New Roman" w:hAnsi="Times New Roman" w:cs="Times New Roman"/>
                <w:sz w:val="24"/>
                <w:szCs w:val="24"/>
                <w:lang w:eastAsia="pt-BR"/>
              </w:rPr>
            </w:pPr>
          </w:p>
        </w:tc>
        <w:tc>
          <w:tcPr>
            <w:tcW w:w="3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 xml:space="preserve">8º I b - FI de Índices </w:t>
            </w:r>
            <w:proofErr w:type="spellStart"/>
            <w:r w:rsidRPr="00E135D5">
              <w:rPr>
                <w:rFonts w:ascii="Arial" w:eastAsia="Times New Roman" w:hAnsi="Arial" w:cs="Arial"/>
                <w:sz w:val="16"/>
                <w:szCs w:val="16"/>
                <w:lang w:eastAsia="pt-BR"/>
              </w:rPr>
              <w:t>Ref</w:t>
            </w:r>
            <w:proofErr w:type="spellEnd"/>
            <w:r w:rsidRPr="00E135D5">
              <w:rPr>
                <w:rFonts w:ascii="Arial" w:eastAsia="Times New Roman" w:hAnsi="Arial" w:cs="Arial"/>
                <w:sz w:val="16"/>
                <w:szCs w:val="16"/>
                <w:lang w:eastAsia="pt-BR"/>
              </w:rPr>
              <w:t xml:space="preserve"> Renda Variável</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30,00%</w:t>
            </w:r>
          </w:p>
        </w:tc>
        <w:tc>
          <w:tcPr>
            <w:tcW w:w="234" w:type="dxa"/>
            <w:tcBorders>
              <w:top w:val="nil"/>
              <w:left w:val="nil"/>
              <w:bottom w:val="nil"/>
              <w:right w:val="single" w:sz="8" w:space="0" w:color="auto"/>
            </w:tcBorders>
            <w:tcMar>
              <w:top w:w="0" w:type="dxa"/>
              <w:left w:w="108" w:type="dxa"/>
              <w:bottom w:w="0" w:type="dxa"/>
              <w:right w:w="108" w:type="dxa"/>
            </w:tcMar>
            <w:vAlign w:val="center"/>
            <w:hideMark/>
          </w:tcPr>
          <w:p w:rsidR="00B75C56" w:rsidRPr="00B75C56" w:rsidRDefault="00B75C56" w:rsidP="00B75C56">
            <w:pPr>
              <w:spacing w:before="100" w:beforeAutospacing="1" w:after="0" w:line="240" w:lineRule="auto"/>
              <w:jc w:val="center"/>
              <w:rPr>
                <w:rFonts w:ascii="Times New Roman" w:eastAsia="Times New Roman" w:hAnsi="Times New Roman" w:cs="Times New Roman"/>
                <w:color w:val="FF0000"/>
                <w:sz w:val="24"/>
                <w:szCs w:val="24"/>
                <w:lang w:eastAsia="pt-BR"/>
              </w:rPr>
            </w:pPr>
            <w:r w:rsidRPr="00B75C56">
              <w:rPr>
                <w:rFonts w:ascii="Arial" w:eastAsia="Times New Roman" w:hAnsi="Arial" w:cs="Arial"/>
                <w:b/>
                <w:bCs/>
                <w:color w:val="FF0000"/>
                <w:sz w:val="24"/>
                <w:szCs w:val="24"/>
                <w:lang w:eastAsia="pt-BR"/>
              </w:rPr>
              <w:t> </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0,00%</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0,00%</w:t>
            </w: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0,00%</w:t>
            </w:r>
          </w:p>
        </w:tc>
      </w:tr>
      <w:tr w:rsidR="00B75C56" w:rsidRPr="00B75C56" w:rsidTr="00B75C56">
        <w:trPr>
          <w:trHeight w:val="341"/>
        </w:trPr>
        <w:tc>
          <w:tcPr>
            <w:tcW w:w="0" w:type="auto"/>
            <w:vMerge/>
            <w:tcBorders>
              <w:top w:val="nil"/>
              <w:left w:val="single" w:sz="8" w:space="0" w:color="auto"/>
              <w:bottom w:val="single" w:sz="8" w:space="0" w:color="auto"/>
              <w:right w:val="single" w:sz="8" w:space="0" w:color="auto"/>
            </w:tcBorders>
            <w:vAlign w:val="center"/>
            <w:hideMark/>
          </w:tcPr>
          <w:p w:rsidR="00B75C56" w:rsidRPr="00E135D5" w:rsidRDefault="00B75C56" w:rsidP="00B75C56">
            <w:pPr>
              <w:spacing w:after="0" w:line="240" w:lineRule="auto"/>
              <w:rPr>
                <w:rFonts w:ascii="Times New Roman" w:eastAsia="Times New Roman" w:hAnsi="Times New Roman" w:cs="Times New Roman"/>
                <w:sz w:val="24"/>
                <w:szCs w:val="24"/>
                <w:lang w:eastAsia="pt-BR"/>
              </w:rPr>
            </w:pPr>
          </w:p>
        </w:tc>
        <w:tc>
          <w:tcPr>
            <w:tcW w:w="3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8º II a - FI em Ações</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20,00%</w:t>
            </w:r>
          </w:p>
        </w:tc>
        <w:tc>
          <w:tcPr>
            <w:tcW w:w="234" w:type="dxa"/>
            <w:tcBorders>
              <w:top w:val="nil"/>
              <w:left w:val="nil"/>
              <w:bottom w:val="nil"/>
              <w:right w:val="single" w:sz="8" w:space="0" w:color="auto"/>
            </w:tcBorders>
            <w:tcMar>
              <w:top w:w="0" w:type="dxa"/>
              <w:left w:w="108" w:type="dxa"/>
              <w:bottom w:w="0" w:type="dxa"/>
              <w:right w:w="108" w:type="dxa"/>
            </w:tcMar>
            <w:vAlign w:val="center"/>
            <w:hideMark/>
          </w:tcPr>
          <w:p w:rsidR="00B75C56" w:rsidRPr="00B75C56" w:rsidRDefault="00B75C56" w:rsidP="00B75C56">
            <w:pPr>
              <w:spacing w:before="100" w:beforeAutospacing="1" w:after="0" w:line="240" w:lineRule="auto"/>
              <w:jc w:val="center"/>
              <w:rPr>
                <w:rFonts w:ascii="Times New Roman" w:eastAsia="Times New Roman" w:hAnsi="Times New Roman" w:cs="Times New Roman"/>
                <w:color w:val="FF0000"/>
                <w:sz w:val="24"/>
                <w:szCs w:val="24"/>
                <w:lang w:eastAsia="pt-BR"/>
              </w:rPr>
            </w:pPr>
            <w:r w:rsidRPr="00B75C56">
              <w:rPr>
                <w:rFonts w:ascii="Arial" w:eastAsia="Times New Roman" w:hAnsi="Arial" w:cs="Arial"/>
                <w:b/>
                <w:bCs/>
                <w:color w:val="FF0000"/>
                <w:sz w:val="24"/>
                <w:szCs w:val="24"/>
                <w:lang w:eastAsia="pt-BR"/>
              </w:rPr>
              <w:t> </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3,69%</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18,45%</w:t>
            </w: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20,00%</w:t>
            </w:r>
          </w:p>
        </w:tc>
      </w:tr>
      <w:tr w:rsidR="00B75C56" w:rsidRPr="00B75C56" w:rsidTr="00B75C56">
        <w:trPr>
          <w:trHeight w:val="314"/>
        </w:trPr>
        <w:tc>
          <w:tcPr>
            <w:tcW w:w="0" w:type="auto"/>
            <w:vMerge/>
            <w:tcBorders>
              <w:top w:val="nil"/>
              <w:left w:val="single" w:sz="8" w:space="0" w:color="auto"/>
              <w:bottom w:val="single" w:sz="8" w:space="0" w:color="auto"/>
              <w:right w:val="single" w:sz="8" w:space="0" w:color="auto"/>
            </w:tcBorders>
            <w:vAlign w:val="center"/>
            <w:hideMark/>
          </w:tcPr>
          <w:p w:rsidR="00B75C56" w:rsidRPr="00E135D5" w:rsidRDefault="00B75C56" w:rsidP="00B75C56">
            <w:pPr>
              <w:spacing w:after="0" w:line="240" w:lineRule="auto"/>
              <w:rPr>
                <w:rFonts w:ascii="Times New Roman" w:eastAsia="Times New Roman" w:hAnsi="Times New Roman" w:cs="Times New Roman"/>
                <w:sz w:val="24"/>
                <w:szCs w:val="24"/>
                <w:lang w:eastAsia="pt-BR"/>
              </w:rPr>
            </w:pPr>
          </w:p>
        </w:tc>
        <w:tc>
          <w:tcPr>
            <w:tcW w:w="3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8º II b - FI em Índices de Ações</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20,00%</w:t>
            </w:r>
          </w:p>
        </w:tc>
        <w:tc>
          <w:tcPr>
            <w:tcW w:w="234" w:type="dxa"/>
            <w:tcBorders>
              <w:top w:val="nil"/>
              <w:left w:val="nil"/>
              <w:bottom w:val="nil"/>
              <w:right w:val="single" w:sz="8" w:space="0" w:color="auto"/>
            </w:tcBorders>
            <w:tcMar>
              <w:top w:w="0" w:type="dxa"/>
              <w:left w:w="108" w:type="dxa"/>
              <w:bottom w:w="0" w:type="dxa"/>
              <w:right w:w="108" w:type="dxa"/>
            </w:tcMar>
            <w:vAlign w:val="center"/>
            <w:hideMark/>
          </w:tcPr>
          <w:p w:rsidR="00B75C56" w:rsidRPr="00B75C56" w:rsidRDefault="00B75C56" w:rsidP="00B75C56">
            <w:pPr>
              <w:spacing w:before="100" w:beforeAutospacing="1" w:after="0" w:line="240" w:lineRule="auto"/>
              <w:jc w:val="center"/>
              <w:rPr>
                <w:rFonts w:ascii="Times New Roman" w:eastAsia="Times New Roman" w:hAnsi="Times New Roman" w:cs="Times New Roman"/>
                <w:color w:val="FF0000"/>
                <w:sz w:val="24"/>
                <w:szCs w:val="24"/>
                <w:lang w:eastAsia="pt-BR"/>
              </w:rPr>
            </w:pPr>
            <w:r w:rsidRPr="00B75C56">
              <w:rPr>
                <w:rFonts w:ascii="Arial" w:eastAsia="Times New Roman" w:hAnsi="Arial" w:cs="Arial"/>
                <w:b/>
                <w:bCs/>
                <w:color w:val="FF0000"/>
                <w:sz w:val="24"/>
                <w:szCs w:val="24"/>
                <w:lang w:eastAsia="pt-BR"/>
              </w:rPr>
              <w:t> </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0,00%</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0,00%</w:t>
            </w: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0,00%</w:t>
            </w:r>
          </w:p>
        </w:tc>
      </w:tr>
      <w:tr w:rsidR="00B75C56" w:rsidRPr="00B75C56" w:rsidTr="00B75C56">
        <w:trPr>
          <w:trHeight w:val="341"/>
        </w:trPr>
        <w:tc>
          <w:tcPr>
            <w:tcW w:w="0" w:type="auto"/>
            <w:vMerge/>
            <w:tcBorders>
              <w:top w:val="nil"/>
              <w:left w:val="single" w:sz="8" w:space="0" w:color="auto"/>
              <w:bottom w:val="single" w:sz="8" w:space="0" w:color="auto"/>
              <w:right w:val="single" w:sz="8" w:space="0" w:color="auto"/>
            </w:tcBorders>
            <w:vAlign w:val="center"/>
            <w:hideMark/>
          </w:tcPr>
          <w:p w:rsidR="00B75C56" w:rsidRPr="00E135D5" w:rsidRDefault="00B75C56" w:rsidP="00B75C56">
            <w:pPr>
              <w:spacing w:after="0" w:line="240" w:lineRule="auto"/>
              <w:rPr>
                <w:rFonts w:ascii="Times New Roman" w:eastAsia="Times New Roman" w:hAnsi="Times New Roman" w:cs="Times New Roman"/>
                <w:sz w:val="24"/>
                <w:szCs w:val="24"/>
                <w:lang w:eastAsia="pt-BR"/>
              </w:rPr>
            </w:pPr>
          </w:p>
        </w:tc>
        <w:tc>
          <w:tcPr>
            <w:tcW w:w="3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 xml:space="preserve">Art. 8º, III - FI </w:t>
            </w:r>
            <w:proofErr w:type="spellStart"/>
            <w:r w:rsidRPr="00E135D5">
              <w:rPr>
                <w:rFonts w:ascii="Arial" w:eastAsia="Times New Roman" w:hAnsi="Arial" w:cs="Arial"/>
                <w:sz w:val="16"/>
                <w:szCs w:val="16"/>
                <w:lang w:eastAsia="pt-BR"/>
              </w:rPr>
              <w:t>Multimercado</w:t>
            </w:r>
            <w:proofErr w:type="spellEnd"/>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10,00%</w:t>
            </w:r>
          </w:p>
        </w:tc>
        <w:tc>
          <w:tcPr>
            <w:tcW w:w="234" w:type="dxa"/>
            <w:tcBorders>
              <w:top w:val="nil"/>
              <w:left w:val="nil"/>
              <w:bottom w:val="nil"/>
              <w:right w:val="single" w:sz="8" w:space="0" w:color="auto"/>
            </w:tcBorders>
            <w:tcMar>
              <w:top w:w="0" w:type="dxa"/>
              <w:left w:w="108" w:type="dxa"/>
              <w:bottom w:w="0" w:type="dxa"/>
              <w:right w:w="108" w:type="dxa"/>
            </w:tcMar>
            <w:vAlign w:val="center"/>
            <w:hideMark/>
          </w:tcPr>
          <w:p w:rsidR="00B75C56" w:rsidRPr="00B75C56" w:rsidRDefault="00B75C56" w:rsidP="00B75C56">
            <w:pPr>
              <w:spacing w:before="100" w:beforeAutospacing="1" w:after="0" w:line="240" w:lineRule="auto"/>
              <w:jc w:val="center"/>
              <w:rPr>
                <w:rFonts w:ascii="Times New Roman" w:eastAsia="Times New Roman" w:hAnsi="Times New Roman" w:cs="Times New Roman"/>
                <w:color w:val="FF0000"/>
                <w:sz w:val="24"/>
                <w:szCs w:val="24"/>
                <w:lang w:eastAsia="pt-BR"/>
              </w:rPr>
            </w:pPr>
            <w:r w:rsidRPr="00B75C56">
              <w:rPr>
                <w:rFonts w:ascii="Arial" w:eastAsia="Times New Roman" w:hAnsi="Arial" w:cs="Arial"/>
                <w:b/>
                <w:bCs/>
                <w:color w:val="FF0000"/>
                <w:sz w:val="24"/>
                <w:szCs w:val="24"/>
                <w:lang w:eastAsia="pt-BR"/>
              </w:rPr>
              <w:t> </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3,07%</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6,07%</w:t>
            </w: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10,00%</w:t>
            </w:r>
          </w:p>
        </w:tc>
      </w:tr>
      <w:tr w:rsidR="00B75C56" w:rsidRPr="00B75C56" w:rsidTr="00B75C56">
        <w:trPr>
          <w:trHeight w:val="314"/>
        </w:trPr>
        <w:tc>
          <w:tcPr>
            <w:tcW w:w="0" w:type="auto"/>
            <w:vMerge/>
            <w:tcBorders>
              <w:top w:val="nil"/>
              <w:left w:val="single" w:sz="8" w:space="0" w:color="auto"/>
              <w:bottom w:val="single" w:sz="8" w:space="0" w:color="auto"/>
              <w:right w:val="single" w:sz="8" w:space="0" w:color="auto"/>
            </w:tcBorders>
            <w:vAlign w:val="center"/>
            <w:hideMark/>
          </w:tcPr>
          <w:p w:rsidR="00B75C56" w:rsidRPr="00E135D5" w:rsidRDefault="00B75C56" w:rsidP="00B75C56">
            <w:pPr>
              <w:spacing w:after="0" w:line="240" w:lineRule="auto"/>
              <w:rPr>
                <w:rFonts w:ascii="Times New Roman" w:eastAsia="Times New Roman" w:hAnsi="Times New Roman" w:cs="Times New Roman"/>
                <w:sz w:val="24"/>
                <w:szCs w:val="24"/>
                <w:lang w:eastAsia="pt-BR"/>
              </w:rPr>
            </w:pPr>
          </w:p>
        </w:tc>
        <w:tc>
          <w:tcPr>
            <w:tcW w:w="3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8º IV a - FI em Participações</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5,00%</w:t>
            </w:r>
          </w:p>
        </w:tc>
        <w:tc>
          <w:tcPr>
            <w:tcW w:w="234" w:type="dxa"/>
            <w:tcBorders>
              <w:top w:val="nil"/>
              <w:left w:val="nil"/>
              <w:bottom w:val="nil"/>
              <w:right w:val="single" w:sz="8" w:space="0" w:color="auto"/>
            </w:tcBorders>
            <w:tcMar>
              <w:top w:w="0" w:type="dxa"/>
              <w:left w:w="108" w:type="dxa"/>
              <w:bottom w:w="0" w:type="dxa"/>
              <w:right w:w="108" w:type="dxa"/>
            </w:tcMar>
            <w:vAlign w:val="center"/>
            <w:hideMark/>
          </w:tcPr>
          <w:p w:rsidR="00B75C56" w:rsidRPr="00B75C56" w:rsidRDefault="00B75C56" w:rsidP="00B75C56">
            <w:pPr>
              <w:spacing w:before="100" w:beforeAutospacing="1" w:after="0" w:line="240" w:lineRule="auto"/>
              <w:jc w:val="center"/>
              <w:rPr>
                <w:rFonts w:ascii="Times New Roman" w:eastAsia="Times New Roman" w:hAnsi="Times New Roman" w:cs="Times New Roman"/>
                <w:color w:val="FF0000"/>
                <w:sz w:val="24"/>
                <w:szCs w:val="24"/>
                <w:lang w:eastAsia="pt-BR"/>
              </w:rPr>
            </w:pPr>
            <w:r w:rsidRPr="00B75C56">
              <w:rPr>
                <w:rFonts w:ascii="Arial" w:eastAsia="Times New Roman" w:hAnsi="Arial" w:cs="Arial"/>
                <w:color w:val="FF0000"/>
                <w:sz w:val="24"/>
                <w:szCs w:val="24"/>
                <w:lang w:eastAsia="pt-BR"/>
              </w:rPr>
              <w:t> </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0,00%</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0,00%</w:t>
            </w: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0,00%</w:t>
            </w:r>
          </w:p>
        </w:tc>
      </w:tr>
      <w:tr w:rsidR="00B75C56" w:rsidRPr="00B75C56" w:rsidTr="00B75C56">
        <w:trPr>
          <w:trHeight w:val="341"/>
        </w:trPr>
        <w:tc>
          <w:tcPr>
            <w:tcW w:w="0" w:type="auto"/>
            <w:vMerge/>
            <w:tcBorders>
              <w:top w:val="nil"/>
              <w:left w:val="single" w:sz="8" w:space="0" w:color="auto"/>
              <w:bottom w:val="single" w:sz="8" w:space="0" w:color="auto"/>
              <w:right w:val="single" w:sz="8" w:space="0" w:color="auto"/>
            </w:tcBorders>
            <w:vAlign w:val="center"/>
            <w:hideMark/>
          </w:tcPr>
          <w:p w:rsidR="00B75C56" w:rsidRPr="00E135D5" w:rsidRDefault="00B75C56" w:rsidP="00B75C56">
            <w:pPr>
              <w:spacing w:after="0" w:line="240" w:lineRule="auto"/>
              <w:rPr>
                <w:rFonts w:ascii="Times New Roman" w:eastAsia="Times New Roman" w:hAnsi="Times New Roman" w:cs="Times New Roman"/>
                <w:sz w:val="24"/>
                <w:szCs w:val="24"/>
                <w:lang w:eastAsia="pt-BR"/>
              </w:rPr>
            </w:pPr>
          </w:p>
        </w:tc>
        <w:tc>
          <w:tcPr>
            <w:tcW w:w="3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8º IV b - FI Imobiliário</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5,00%</w:t>
            </w:r>
          </w:p>
        </w:tc>
        <w:tc>
          <w:tcPr>
            <w:tcW w:w="234" w:type="dxa"/>
            <w:tcBorders>
              <w:top w:val="nil"/>
              <w:left w:val="nil"/>
              <w:bottom w:val="nil"/>
              <w:right w:val="single" w:sz="8" w:space="0" w:color="auto"/>
            </w:tcBorders>
            <w:tcMar>
              <w:top w:w="0" w:type="dxa"/>
              <w:left w:w="108" w:type="dxa"/>
              <w:bottom w:w="0" w:type="dxa"/>
              <w:right w:w="108" w:type="dxa"/>
            </w:tcMar>
            <w:vAlign w:val="center"/>
            <w:hideMark/>
          </w:tcPr>
          <w:p w:rsidR="00B75C56" w:rsidRPr="00B75C56" w:rsidRDefault="00B75C56" w:rsidP="00B75C56">
            <w:pPr>
              <w:spacing w:before="100" w:beforeAutospacing="1" w:after="0" w:line="240" w:lineRule="auto"/>
              <w:jc w:val="center"/>
              <w:rPr>
                <w:rFonts w:ascii="Times New Roman" w:eastAsia="Times New Roman" w:hAnsi="Times New Roman" w:cs="Times New Roman"/>
                <w:color w:val="FF0000"/>
                <w:sz w:val="24"/>
                <w:szCs w:val="24"/>
                <w:lang w:eastAsia="pt-BR"/>
              </w:rPr>
            </w:pPr>
            <w:r w:rsidRPr="00B75C56">
              <w:rPr>
                <w:rFonts w:ascii="Arial" w:eastAsia="Times New Roman" w:hAnsi="Arial" w:cs="Arial"/>
                <w:b/>
                <w:bCs/>
                <w:color w:val="FF0000"/>
                <w:sz w:val="24"/>
                <w:szCs w:val="24"/>
                <w:lang w:eastAsia="pt-BR"/>
              </w:rPr>
              <w:t> </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0,00%</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0,00%</w:t>
            </w: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0,00%</w:t>
            </w:r>
          </w:p>
        </w:tc>
      </w:tr>
      <w:tr w:rsidR="00B75C56" w:rsidRPr="00B75C56" w:rsidTr="00B75C56">
        <w:trPr>
          <w:trHeight w:val="314"/>
        </w:trPr>
        <w:tc>
          <w:tcPr>
            <w:tcW w:w="0" w:type="auto"/>
            <w:vMerge/>
            <w:tcBorders>
              <w:top w:val="nil"/>
              <w:left w:val="single" w:sz="8" w:space="0" w:color="auto"/>
              <w:bottom w:val="single" w:sz="8" w:space="0" w:color="auto"/>
              <w:right w:val="single" w:sz="8" w:space="0" w:color="auto"/>
            </w:tcBorders>
            <w:vAlign w:val="center"/>
            <w:hideMark/>
          </w:tcPr>
          <w:p w:rsidR="00B75C56" w:rsidRPr="00E135D5" w:rsidRDefault="00B75C56" w:rsidP="00B75C56">
            <w:pPr>
              <w:spacing w:after="0" w:line="240" w:lineRule="auto"/>
              <w:rPr>
                <w:rFonts w:ascii="Times New Roman" w:eastAsia="Times New Roman" w:hAnsi="Times New Roman" w:cs="Times New Roman"/>
                <w:sz w:val="24"/>
                <w:szCs w:val="24"/>
                <w:lang w:eastAsia="pt-BR"/>
              </w:rPr>
            </w:pPr>
          </w:p>
        </w:tc>
        <w:tc>
          <w:tcPr>
            <w:tcW w:w="3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8º IV c - Ações - Mercado de Acesso</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5,00%</w:t>
            </w:r>
          </w:p>
        </w:tc>
        <w:tc>
          <w:tcPr>
            <w:tcW w:w="234" w:type="dxa"/>
            <w:tcBorders>
              <w:top w:val="nil"/>
              <w:left w:val="nil"/>
              <w:bottom w:val="nil"/>
              <w:right w:val="single" w:sz="8" w:space="0" w:color="auto"/>
            </w:tcBorders>
            <w:tcMar>
              <w:top w:w="0" w:type="dxa"/>
              <w:left w:w="108" w:type="dxa"/>
              <w:bottom w:w="0" w:type="dxa"/>
              <w:right w:w="108" w:type="dxa"/>
            </w:tcMar>
            <w:vAlign w:val="center"/>
            <w:hideMark/>
          </w:tcPr>
          <w:p w:rsidR="00B75C56" w:rsidRPr="00B75C56" w:rsidRDefault="00B75C56" w:rsidP="00B75C56">
            <w:pPr>
              <w:spacing w:before="100" w:beforeAutospacing="1" w:after="0" w:line="240" w:lineRule="auto"/>
              <w:jc w:val="center"/>
              <w:rPr>
                <w:rFonts w:ascii="Times New Roman" w:eastAsia="Times New Roman" w:hAnsi="Times New Roman" w:cs="Times New Roman"/>
                <w:color w:val="FF0000"/>
                <w:sz w:val="24"/>
                <w:szCs w:val="24"/>
                <w:lang w:eastAsia="pt-BR"/>
              </w:rPr>
            </w:pPr>
            <w:r w:rsidRPr="00B75C56">
              <w:rPr>
                <w:rFonts w:ascii="Arial" w:eastAsia="Times New Roman" w:hAnsi="Arial" w:cs="Arial"/>
                <w:b/>
                <w:bCs/>
                <w:color w:val="FF0000"/>
                <w:sz w:val="24"/>
                <w:szCs w:val="24"/>
                <w:lang w:eastAsia="pt-BR"/>
              </w:rPr>
              <w:t> </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0,00%</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0,00%</w:t>
            </w: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0,00%</w:t>
            </w:r>
          </w:p>
        </w:tc>
      </w:tr>
      <w:tr w:rsidR="00B75C56" w:rsidRPr="00B75C56" w:rsidTr="00B75C56">
        <w:trPr>
          <w:trHeight w:val="341"/>
        </w:trPr>
        <w:tc>
          <w:tcPr>
            <w:tcW w:w="1002" w:type="dxa"/>
            <w:tcBorders>
              <w:top w:val="nil"/>
              <w:left w:val="nil"/>
              <w:bottom w:val="nil"/>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b/>
                <w:bCs/>
                <w:sz w:val="16"/>
                <w:szCs w:val="16"/>
                <w:lang w:eastAsia="pt-BR"/>
              </w:rPr>
              <w:t> </w:t>
            </w:r>
          </w:p>
        </w:tc>
        <w:tc>
          <w:tcPr>
            <w:tcW w:w="339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rPr>
                <w:rFonts w:ascii="Times New Roman" w:eastAsia="Times New Roman" w:hAnsi="Times New Roman" w:cs="Times New Roman"/>
                <w:sz w:val="24"/>
                <w:szCs w:val="24"/>
                <w:lang w:eastAsia="pt-BR"/>
              </w:rPr>
            </w:pPr>
            <w:r w:rsidRPr="00E135D5">
              <w:rPr>
                <w:rFonts w:ascii="Arial" w:eastAsia="Times New Roman" w:hAnsi="Arial" w:cs="Arial"/>
                <w:b/>
                <w:bCs/>
                <w:sz w:val="16"/>
                <w:szCs w:val="16"/>
                <w:lang w:eastAsia="pt-BR"/>
              </w:rPr>
              <w:t>Limite de Renda Variável - Art. 8º, § 1°</w:t>
            </w:r>
          </w:p>
        </w:tc>
        <w:tc>
          <w:tcPr>
            <w:tcW w:w="132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b/>
                <w:bCs/>
                <w:sz w:val="16"/>
                <w:szCs w:val="16"/>
                <w:lang w:eastAsia="pt-BR"/>
              </w:rPr>
              <w:t>30,00%</w:t>
            </w:r>
          </w:p>
        </w:tc>
        <w:tc>
          <w:tcPr>
            <w:tcW w:w="234" w:type="dxa"/>
            <w:tcBorders>
              <w:top w:val="nil"/>
              <w:left w:val="nil"/>
              <w:bottom w:val="nil"/>
              <w:right w:val="single" w:sz="8" w:space="0" w:color="auto"/>
            </w:tcBorders>
            <w:tcMar>
              <w:top w:w="0" w:type="dxa"/>
              <w:left w:w="108" w:type="dxa"/>
              <w:bottom w:w="0" w:type="dxa"/>
              <w:right w:w="108" w:type="dxa"/>
            </w:tcMar>
            <w:vAlign w:val="center"/>
            <w:hideMark/>
          </w:tcPr>
          <w:p w:rsidR="00B75C56" w:rsidRPr="00B75C56" w:rsidRDefault="00B75C56" w:rsidP="00B75C56">
            <w:pPr>
              <w:spacing w:before="100" w:beforeAutospacing="1" w:after="0" w:line="240" w:lineRule="auto"/>
              <w:jc w:val="center"/>
              <w:rPr>
                <w:rFonts w:ascii="Times New Roman" w:eastAsia="Times New Roman" w:hAnsi="Times New Roman" w:cs="Times New Roman"/>
                <w:color w:val="FF0000"/>
                <w:sz w:val="24"/>
                <w:szCs w:val="24"/>
                <w:lang w:eastAsia="pt-BR"/>
              </w:rPr>
            </w:pPr>
            <w:r w:rsidRPr="00B75C56">
              <w:rPr>
                <w:rFonts w:ascii="Arial" w:eastAsia="Times New Roman" w:hAnsi="Arial" w:cs="Arial"/>
                <w:b/>
                <w:bCs/>
                <w:color w:val="FF0000"/>
                <w:sz w:val="24"/>
                <w:szCs w:val="24"/>
                <w:lang w:eastAsia="pt-BR"/>
              </w:rPr>
              <w:t> </w:t>
            </w:r>
          </w:p>
        </w:tc>
        <w:tc>
          <w:tcPr>
            <w:tcW w:w="132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b/>
                <w:bCs/>
                <w:sz w:val="16"/>
                <w:szCs w:val="16"/>
                <w:lang w:eastAsia="pt-BR"/>
              </w:rPr>
              <w:t>6,76%</w:t>
            </w:r>
          </w:p>
        </w:tc>
        <w:tc>
          <w:tcPr>
            <w:tcW w:w="132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b/>
                <w:bCs/>
                <w:sz w:val="16"/>
                <w:szCs w:val="16"/>
                <w:lang w:eastAsia="pt-BR"/>
              </w:rPr>
              <w:t>24,52%</w:t>
            </w:r>
          </w:p>
        </w:tc>
        <w:tc>
          <w:tcPr>
            <w:tcW w:w="133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b/>
                <w:bCs/>
                <w:sz w:val="16"/>
                <w:szCs w:val="16"/>
                <w:lang w:eastAsia="pt-BR"/>
              </w:rPr>
              <w:t>30,00%</w:t>
            </w:r>
          </w:p>
        </w:tc>
      </w:tr>
      <w:tr w:rsidR="00B75C56" w:rsidRPr="00B75C56" w:rsidTr="00B75C56">
        <w:trPr>
          <w:trHeight w:val="314"/>
        </w:trPr>
        <w:tc>
          <w:tcPr>
            <w:tcW w:w="1002" w:type="dxa"/>
            <w:tcBorders>
              <w:top w:val="nil"/>
              <w:left w:val="nil"/>
              <w:bottom w:val="single" w:sz="8" w:space="0" w:color="auto"/>
              <w:right w:val="nil"/>
            </w:tcBorders>
            <w:tcMar>
              <w:top w:w="0" w:type="dxa"/>
              <w:left w:w="108" w:type="dxa"/>
              <w:bottom w:w="0" w:type="dxa"/>
              <w:right w:w="108" w:type="dxa"/>
            </w:tcMar>
            <w:vAlign w:val="center"/>
            <w:hideMark/>
          </w:tcPr>
          <w:p w:rsidR="00B75C56" w:rsidRPr="00B75C56" w:rsidRDefault="00B75C56" w:rsidP="00B75C56">
            <w:pPr>
              <w:spacing w:before="100" w:beforeAutospacing="1" w:after="0" w:line="240" w:lineRule="auto"/>
              <w:jc w:val="center"/>
              <w:rPr>
                <w:rFonts w:ascii="Times New Roman" w:eastAsia="Times New Roman" w:hAnsi="Times New Roman" w:cs="Times New Roman"/>
                <w:color w:val="FF0000"/>
                <w:sz w:val="24"/>
                <w:szCs w:val="24"/>
                <w:lang w:eastAsia="pt-BR"/>
              </w:rPr>
            </w:pPr>
            <w:r w:rsidRPr="00B75C56">
              <w:rPr>
                <w:rFonts w:ascii="Arial" w:eastAsia="Times New Roman" w:hAnsi="Arial" w:cs="Arial"/>
                <w:b/>
                <w:bCs/>
                <w:color w:val="FF0000"/>
                <w:sz w:val="16"/>
                <w:szCs w:val="16"/>
                <w:lang w:eastAsia="pt-BR"/>
              </w:rPr>
              <w:t> </w:t>
            </w:r>
          </w:p>
        </w:tc>
        <w:tc>
          <w:tcPr>
            <w:tcW w:w="3390" w:type="dxa"/>
            <w:tcBorders>
              <w:top w:val="nil"/>
              <w:left w:val="nil"/>
              <w:bottom w:val="single" w:sz="8" w:space="0" w:color="auto"/>
              <w:right w:val="nil"/>
            </w:tcBorders>
            <w:tcMar>
              <w:top w:w="0" w:type="dxa"/>
              <w:left w:w="108" w:type="dxa"/>
              <w:bottom w:w="0" w:type="dxa"/>
              <w:right w:w="108" w:type="dxa"/>
            </w:tcMar>
            <w:vAlign w:val="center"/>
            <w:hideMark/>
          </w:tcPr>
          <w:p w:rsidR="00B75C56" w:rsidRPr="00B75C56" w:rsidRDefault="00B75C56" w:rsidP="00B75C56">
            <w:pPr>
              <w:spacing w:before="100" w:beforeAutospacing="1" w:after="0" w:line="240" w:lineRule="auto"/>
              <w:rPr>
                <w:rFonts w:ascii="Times New Roman" w:eastAsia="Times New Roman" w:hAnsi="Times New Roman" w:cs="Times New Roman"/>
                <w:color w:val="FF0000"/>
                <w:sz w:val="24"/>
                <w:szCs w:val="24"/>
                <w:lang w:eastAsia="pt-BR"/>
              </w:rPr>
            </w:pPr>
            <w:r w:rsidRPr="00B75C56">
              <w:rPr>
                <w:rFonts w:ascii="Arial" w:eastAsia="Times New Roman" w:hAnsi="Arial" w:cs="Arial"/>
                <w:b/>
                <w:bCs/>
                <w:color w:val="FF0000"/>
                <w:sz w:val="24"/>
                <w:szCs w:val="24"/>
                <w:lang w:eastAsia="pt-BR"/>
              </w:rPr>
              <w:t> </w:t>
            </w:r>
          </w:p>
        </w:tc>
        <w:tc>
          <w:tcPr>
            <w:tcW w:w="1327" w:type="dxa"/>
            <w:tcBorders>
              <w:top w:val="nil"/>
              <w:left w:val="nil"/>
              <w:bottom w:val="single" w:sz="8" w:space="0" w:color="auto"/>
              <w:right w:val="nil"/>
            </w:tcBorders>
            <w:tcMar>
              <w:top w:w="0" w:type="dxa"/>
              <w:left w:w="108" w:type="dxa"/>
              <w:bottom w:w="0" w:type="dxa"/>
              <w:right w:w="108" w:type="dxa"/>
            </w:tcMar>
            <w:vAlign w:val="center"/>
            <w:hideMark/>
          </w:tcPr>
          <w:p w:rsidR="00B75C56" w:rsidRPr="00B75C56" w:rsidRDefault="00B75C56" w:rsidP="00B75C56">
            <w:pPr>
              <w:spacing w:before="100" w:beforeAutospacing="1" w:after="0" w:line="240" w:lineRule="auto"/>
              <w:jc w:val="center"/>
              <w:rPr>
                <w:rFonts w:ascii="Times New Roman" w:eastAsia="Times New Roman" w:hAnsi="Times New Roman" w:cs="Times New Roman"/>
                <w:color w:val="FF0000"/>
                <w:sz w:val="24"/>
                <w:szCs w:val="24"/>
                <w:lang w:eastAsia="pt-BR"/>
              </w:rPr>
            </w:pPr>
            <w:r w:rsidRPr="00B75C56">
              <w:rPr>
                <w:rFonts w:ascii="Arial" w:eastAsia="Times New Roman" w:hAnsi="Arial" w:cs="Arial"/>
                <w:b/>
                <w:bCs/>
                <w:color w:val="FF0000"/>
                <w:sz w:val="24"/>
                <w:szCs w:val="24"/>
                <w:lang w:eastAsia="pt-BR"/>
              </w:rPr>
              <w:t> </w:t>
            </w:r>
          </w:p>
        </w:tc>
        <w:tc>
          <w:tcPr>
            <w:tcW w:w="234" w:type="dxa"/>
            <w:tcBorders>
              <w:top w:val="nil"/>
              <w:left w:val="nil"/>
              <w:bottom w:val="nil"/>
              <w:right w:val="nil"/>
            </w:tcBorders>
            <w:tcMar>
              <w:top w:w="0" w:type="dxa"/>
              <w:left w:w="108" w:type="dxa"/>
              <w:bottom w:w="0" w:type="dxa"/>
              <w:right w:w="108" w:type="dxa"/>
            </w:tcMar>
            <w:vAlign w:val="center"/>
            <w:hideMark/>
          </w:tcPr>
          <w:p w:rsidR="00B75C56" w:rsidRPr="00B75C56" w:rsidRDefault="00B75C56" w:rsidP="00B75C56">
            <w:pPr>
              <w:spacing w:before="100" w:beforeAutospacing="1" w:after="0" w:line="240" w:lineRule="auto"/>
              <w:jc w:val="center"/>
              <w:rPr>
                <w:rFonts w:ascii="Times New Roman" w:eastAsia="Times New Roman" w:hAnsi="Times New Roman" w:cs="Times New Roman"/>
                <w:color w:val="FF0000"/>
                <w:sz w:val="24"/>
                <w:szCs w:val="24"/>
                <w:lang w:eastAsia="pt-BR"/>
              </w:rPr>
            </w:pPr>
            <w:r w:rsidRPr="00B75C56">
              <w:rPr>
                <w:rFonts w:ascii="Arial" w:eastAsia="Times New Roman" w:hAnsi="Arial" w:cs="Arial"/>
                <w:b/>
                <w:bCs/>
                <w:color w:val="FF0000"/>
                <w:sz w:val="24"/>
                <w:szCs w:val="24"/>
                <w:lang w:eastAsia="pt-BR"/>
              </w:rPr>
              <w:t> </w:t>
            </w:r>
          </w:p>
        </w:tc>
        <w:tc>
          <w:tcPr>
            <w:tcW w:w="1327" w:type="dxa"/>
            <w:tcBorders>
              <w:top w:val="nil"/>
              <w:left w:val="nil"/>
              <w:bottom w:val="single" w:sz="8" w:space="0" w:color="auto"/>
              <w:right w:val="nil"/>
            </w:tcBorders>
            <w:tcMar>
              <w:top w:w="0" w:type="dxa"/>
              <w:left w:w="108" w:type="dxa"/>
              <w:bottom w:w="0" w:type="dxa"/>
              <w:right w:w="108" w:type="dxa"/>
            </w:tcMar>
            <w:vAlign w:val="center"/>
            <w:hideMark/>
          </w:tcPr>
          <w:p w:rsidR="00B75C56" w:rsidRPr="00B75C56" w:rsidRDefault="00B75C56" w:rsidP="00B75C56">
            <w:pPr>
              <w:spacing w:before="100" w:beforeAutospacing="1" w:after="0" w:line="240" w:lineRule="auto"/>
              <w:jc w:val="center"/>
              <w:rPr>
                <w:rFonts w:ascii="Times New Roman" w:eastAsia="Times New Roman" w:hAnsi="Times New Roman" w:cs="Times New Roman"/>
                <w:color w:val="FF0000"/>
                <w:sz w:val="24"/>
                <w:szCs w:val="24"/>
                <w:lang w:eastAsia="pt-BR"/>
              </w:rPr>
            </w:pPr>
            <w:r w:rsidRPr="00B75C56">
              <w:rPr>
                <w:rFonts w:ascii="Arial" w:eastAsia="Times New Roman" w:hAnsi="Arial" w:cs="Arial"/>
                <w:b/>
                <w:bCs/>
                <w:color w:val="FF0000"/>
                <w:sz w:val="24"/>
                <w:szCs w:val="24"/>
                <w:lang w:eastAsia="pt-BR"/>
              </w:rPr>
              <w:t> </w:t>
            </w:r>
          </w:p>
        </w:tc>
        <w:tc>
          <w:tcPr>
            <w:tcW w:w="1327" w:type="dxa"/>
            <w:tcBorders>
              <w:top w:val="nil"/>
              <w:left w:val="nil"/>
              <w:bottom w:val="single" w:sz="8" w:space="0" w:color="auto"/>
              <w:right w:val="nil"/>
            </w:tcBorders>
            <w:tcMar>
              <w:top w:w="0" w:type="dxa"/>
              <w:left w:w="108" w:type="dxa"/>
              <w:bottom w:w="0" w:type="dxa"/>
              <w:right w:w="108" w:type="dxa"/>
            </w:tcMar>
            <w:vAlign w:val="center"/>
            <w:hideMark/>
          </w:tcPr>
          <w:p w:rsidR="00B75C56" w:rsidRPr="00B75C56" w:rsidRDefault="00B75C56" w:rsidP="00B75C56">
            <w:pPr>
              <w:spacing w:before="100" w:beforeAutospacing="1" w:after="0" w:line="240" w:lineRule="auto"/>
              <w:jc w:val="center"/>
              <w:rPr>
                <w:rFonts w:ascii="Times New Roman" w:eastAsia="Times New Roman" w:hAnsi="Times New Roman" w:cs="Times New Roman"/>
                <w:color w:val="FF0000"/>
                <w:sz w:val="24"/>
                <w:szCs w:val="24"/>
                <w:lang w:eastAsia="pt-BR"/>
              </w:rPr>
            </w:pPr>
            <w:r w:rsidRPr="00B75C56">
              <w:rPr>
                <w:rFonts w:ascii="Arial" w:eastAsia="Times New Roman" w:hAnsi="Arial" w:cs="Arial"/>
                <w:b/>
                <w:bCs/>
                <w:color w:val="FF0000"/>
                <w:sz w:val="24"/>
                <w:szCs w:val="24"/>
                <w:lang w:eastAsia="pt-BR"/>
              </w:rPr>
              <w:t> </w:t>
            </w:r>
          </w:p>
        </w:tc>
        <w:tc>
          <w:tcPr>
            <w:tcW w:w="1330" w:type="dxa"/>
            <w:tcBorders>
              <w:top w:val="nil"/>
              <w:left w:val="nil"/>
              <w:bottom w:val="single" w:sz="8" w:space="0" w:color="auto"/>
              <w:right w:val="nil"/>
            </w:tcBorders>
            <w:tcMar>
              <w:top w:w="0" w:type="dxa"/>
              <w:left w:w="108" w:type="dxa"/>
              <w:bottom w:w="0" w:type="dxa"/>
              <w:right w:w="108" w:type="dxa"/>
            </w:tcMar>
            <w:vAlign w:val="center"/>
            <w:hideMark/>
          </w:tcPr>
          <w:p w:rsidR="00B75C56" w:rsidRPr="00B75C56" w:rsidRDefault="00B75C56" w:rsidP="00B75C56">
            <w:pPr>
              <w:spacing w:before="100" w:beforeAutospacing="1" w:after="0" w:line="240" w:lineRule="auto"/>
              <w:jc w:val="center"/>
              <w:rPr>
                <w:rFonts w:ascii="Times New Roman" w:eastAsia="Times New Roman" w:hAnsi="Times New Roman" w:cs="Times New Roman"/>
                <w:color w:val="FF0000"/>
                <w:sz w:val="24"/>
                <w:szCs w:val="24"/>
                <w:lang w:eastAsia="pt-BR"/>
              </w:rPr>
            </w:pPr>
            <w:r w:rsidRPr="00B75C56">
              <w:rPr>
                <w:rFonts w:ascii="Arial" w:eastAsia="Times New Roman" w:hAnsi="Arial" w:cs="Arial"/>
                <w:b/>
                <w:bCs/>
                <w:color w:val="FF0000"/>
                <w:sz w:val="24"/>
                <w:szCs w:val="24"/>
                <w:lang w:eastAsia="pt-BR"/>
              </w:rPr>
              <w:t> </w:t>
            </w:r>
          </w:p>
        </w:tc>
      </w:tr>
      <w:tr w:rsidR="00B75C56" w:rsidRPr="00B75C56" w:rsidTr="00B75C56">
        <w:trPr>
          <w:trHeight w:val="314"/>
        </w:trPr>
        <w:tc>
          <w:tcPr>
            <w:tcW w:w="1002" w:type="dxa"/>
            <w:vMerge w:val="restar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b/>
                <w:bCs/>
                <w:sz w:val="16"/>
                <w:szCs w:val="16"/>
                <w:lang w:eastAsia="pt-BR"/>
              </w:rPr>
              <w:t>Exterior</w:t>
            </w:r>
          </w:p>
        </w:tc>
        <w:tc>
          <w:tcPr>
            <w:tcW w:w="3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9º A I - Renda Fixa - Dívida Externa</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10,00%</w:t>
            </w:r>
          </w:p>
        </w:tc>
        <w:tc>
          <w:tcPr>
            <w:tcW w:w="234" w:type="dxa"/>
            <w:tcBorders>
              <w:top w:val="nil"/>
              <w:left w:val="nil"/>
              <w:bottom w:val="nil"/>
              <w:right w:val="single" w:sz="8" w:space="0" w:color="auto"/>
            </w:tcBorders>
            <w:tcMar>
              <w:top w:w="0" w:type="dxa"/>
              <w:left w:w="108" w:type="dxa"/>
              <w:bottom w:w="0" w:type="dxa"/>
              <w:right w:w="108" w:type="dxa"/>
            </w:tcMar>
            <w:vAlign w:val="center"/>
            <w:hideMark/>
          </w:tcPr>
          <w:p w:rsidR="00B75C56" w:rsidRPr="00B75C56" w:rsidRDefault="00B75C56" w:rsidP="00B75C56">
            <w:pPr>
              <w:spacing w:before="100" w:beforeAutospacing="1" w:after="0" w:line="240" w:lineRule="auto"/>
              <w:jc w:val="center"/>
              <w:rPr>
                <w:rFonts w:ascii="Times New Roman" w:eastAsia="Times New Roman" w:hAnsi="Times New Roman" w:cs="Times New Roman"/>
                <w:color w:val="FF0000"/>
                <w:sz w:val="24"/>
                <w:szCs w:val="24"/>
                <w:lang w:eastAsia="pt-BR"/>
              </w:rPr>
            </w:pPr>
            <w:r w:rsidRPr="00B75C56">
              <w:rPr>
                <w:rFonts w:ascii="Arial" w:eastAsia="Times New Roman" w:hAnsi="Arial" w:cs="Arial"/>
                <w:b/>
                <w:bCs/>
                <w:color w:val="FF0000"/>
                <w:sz w:val="24"/>
                <w:szCs w:val="24"/>
                <w:lang w:eastAsia="pt-BR"/>
              </w:rPr>
              <w:t> </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0,00%</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0,00%</w:t>
            </w: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0,00%</w:t>
            </w:r>
          </w:p>
        </w:tc>
      </w:tr>
      <w:tr w:rsidR="00B75C56" w:rsidRPr="00B75C56" w:rsidTr="00B75C56">
        <w:trPr>
          <w:trHeight w:val="341"/>
        </w:trPr>
        <w:tc>
          <w:tcPr>
            <w:tcW w:w="0" w:type="auto"/>
            <w:vMerge/>
            <w:tcBorders>
              <w:top w:val="nil"/>
              <w:left w:val="single" w:sz="8" w:space="0" w:color="auto"/>
              <w:bottom w:val="single" w:sz="8" w:space="0" w:color="auto"/>
              <w:right w:val="single" w:sz="8" w:space="0" w:color="auto"/>
            </w:tcBorders>
            <w:vAlign w:val="center"/>
            <w:hideMark/>
          </w:tcPr>
          <w:p w:rsidR="00B75C56" w:rsidRPr="00E135D5" w:rsidRDefault="00B75C56" w:rsidP="00B75C56">
            <w:pPr>
              <w:spacing w:after="0" w:line="240" w:lineRule="auto"/>
              <w:rPr>
                <w:rFonts w:ascii="Times New Roman" w:eastAsia="Times New Roman" w:hAnsi="Times New Roman" w:cs="Times New Roman"/>
                <w:sz w:val="24"/>
                <w:szCs w:val="24"/>
                <w:lang w:eastAsia="pt-BR"/>
              </w:rPr>
            </w:pPr>
          </w:p>
        </w:tc>
        <w:tc>
          <w:tcPr>
            <w:tcW w:w="3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9º A II - Constituídos no Brasil</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10,00%</w:t>
            </w:r>
          </w:p>
        </w:tc>
        <w:tc>
          <w:tcPr>
            <w:tcW w:w="234" w:type="dxa"/>
            <w:tcBorders>
              <w:top w:val="nil"/>
              <w:left w:val="nil"/>
              <w:bottom w:val="nil"/>
              <w:right w:val="single" w:sz="8" w:space="0" w:color="auto"/>
            </w:tcBorders>
            <w:tcMar>
              <w:top w:w="0" w:type="dxa"/>
              <w:left w:w="108" w:type="dxa"/>
              <w:bottom w:w="0" w:type="dxa"/>
              <w:right w:w="108" w:type="dxa"/>
            </w:tcMar>
            <w:vAlign w:val="center"/>
            <w:hideMark/>
          </w:tcPr>
          <w:p w:rsidR="00B75C56" w:rsidRPr="00B75C56" w:rsidRDefault="00B75C56" w:rsidP="00B75C56">
            <w:pPr>
              <w:spacing w:before="100" w:beforeAutospacing="1" w:after="0" w:line="240" w:lineRule="auto"/>
              <w:jc w:val="center"/>
              <w:rPr>
                <w:rFonts w:ascii="Times New Roman" w:eastAsia="Times New Roman" w:hAnsi="Times New Roman" w:cs="Times New Roman"/>
                <w:color w:val="FF0000"/>
                <w:sz w:val="24"/>
                <w:szCs w:val="24"/>
                <w:lang w:eastAsia="pt-BR"/>
              </w:rPr>
            </w:pPr>
            <w:r w:rsidRPr="00B75C56">
              <w:rPr>
                <w:rFonts w:ascii="Arial" w:eastAsia="Times New Roman" w:hAnsi="Arial" w:cs="Arial"/>
                <w:b/>
                <w:bCs/>
                <w:color w:val="FF0000"/>
                <w:sz w:val="24"/>
                <w:szCs w:val="24"/>
                <w:lang w:eastAsia="pt-BR"/>
              </w:rPr>
              <w:t> </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0,00%</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0,31%</w:t>
            </w: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5,00%</w:t>
            </w:r>
          </w:p>
        </w:tc>
      </w:tr>
      <w:tr w:rsidR="00B75C56" w:rsidRPr="00B75C56" w:rsidTr="00B75C56">
        <w:trPr>
          <w:trHeight w:val="341"/>
        </w:trPr>
        <w:tc>
          <w:tcPr>
            <w:tcW w:w="0" w:type="auto"/>
            <w:vMerge/>
            <w:tcBorders>
              <w:top w:val="nil"/>
              <w:left w:val="single" w:sz="8" w:space="0" w:color="auto"/>
              <w:bottom w:val="single" w:sz="8" w:space="0" w:color="auto"/>
              <w:right w:val="single" w:sz="8" w:space="0" w:color="auto"/>
            </w:tcBorders>
            <w:vAlign w:val="center"/>
            <w:hideMark/>
          </w:tcPr>
          <w:p w:rsidR="00B75C56" w:rsidRPr="00E135D5" w:rsidRDefault="00B75C56" w:rsidP="00B75C56">
            <w:pPr>
              <w:spacing w:after="0" w:line="240" w:lineRule="auto"/>
              <w:rPr>
                <w:rFonts w:ascii="Times New Roman" w:eastAsia="Times New Roman" w:hAnsi="Times New Roman" w:cs="Times New Roman"/>
                <w:sz w:val="24"/>
                <w:szCs w:val="24"/>
                <w:lang w:eastAsia="pt-BR"/>
              </w:rPr>
            </w:pPr>
          </w:p>
        </w:tc>
        <w:tc>
          <w:tcPr>
            <w:tcW w:w="3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9º A III - Ações - BDR Nível I</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10,00%</w:t>
            </w:r>
          </w:p>
        </w:tc>
        <w:tc>
          <w:tcPr>
            <w:tcW w:w="234" w:type="dxa"/>
            <w:tcBorders>
              <w:top w:val="nil"/>
              <w:left w:val="nil"/>
              <w:bottom w:val="nil"/>
              <w:right w:val="single" w:sz="8" w:space="0" w:color="auto"/>
            </w:tcBorders>
            <w:tcMar>
              <w:top w:w="0" w:type="dxa"/>
              <w:left w:w="108" w:type="dxa"/>
              <w:bottom w:w="0" w:type="dxa"/>
              <w:right w:w="108" w:type="dxa"/>
            </w:tcMar>
            <w:vAlign w:val="center"/>
            <w:hideMark/>
          </w:tcPr>
          <w:p w:rsidR="00B75C56" w:rsidRPr="00B75C56" w:rsidRDefault="00B75C56" w:rsidP="00B75C56">
            <w:pPr>
              <w:spacing w:before="100" w:beforeAutospacing="1" w:after="0" w:line="240" w:lineRule="auto"/>
              <w:jc w:val="center"/>
              <w:rPr>
                <w:rFonts w:ascii="Times New Roman" w:eastAsia="Times New Roman" w:hAnsi="Times New Roman" w:cs="Times New Roman"/>
                <w:color w:val="FF0000"/>
                <w:sz w:val="24"/>
                <w:szCs w:val="24"/>
                <w:lang w:eastAsia="pt-BR"/>
              </w:rPr>
            </w:pPr>
            <w:r w:rsidRPr="00B75C56">
              <w:rPr>
                <w:rFonts w:ascii="Arial" w:eastAsia="Times New Roman" w:hAnsi="Arial" w:cs="Arial"/>
                <w:b/>
                <w:bCs/>
                <w:color w:val="FF0000"/>
                <w:sz w:val="24"/>
                <w:szCs w:val="24"/>
                <w:lang w:eastAsia="pt-BR"/>
              </w:rPr>
              <w:t> </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0,00%</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0,31%</w:t>
            </w: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sz w:val="16"/>
                <w:szCs w:val="16"/>
                <w:lang w:eastAsia="pt-BR"/>
              </w:rPr>
              <w:t>5,00%</w:t>
            </w:r>
          </w:p>
        </w:tc>
      </w:tr>
      <w:tr w:rsidR="00B75C56" w:rsidRPr="00B75C56" w:rsidTr="00B75C56">
        <w:trPr>
          <w:trHeight w:val="341"/>
        </w:trPr>
        <w:tc>
          <w:tcPr>
            <w:tcW w:w="1002" w:type="dxa"/>
            <w:tcBorders>
              <w:top w:val="nil"/>
              <w:left w:val="nil"/>
              <w:bottom w:val="nil"/>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b/>
                <w:bCs/>
                <w:sz w:val="24"/>
                <w:szCs w:val="24"/>
                <w:lang w:eastAsia="pt-BR"/>
              </w:rPr>
              <w:t> </w:t>
            </w:r>
          </w:p>
        </w:tc>
        <w:tc>
          <w:tcPr>
            <w:tcW w:w="339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rPr>
                <w:rFonts w:ascii="Times New Roman" w:eastAsia="Times New Roman" w:hAnsi="Times New Roman" w:cs="Times New Roman"/>
                <w:sz w:val="24"/>
                <w:szCs w:val="24"/>
                <w:lang w:eastAsia="pt-BR"/>
              </w:rPr>
            </w:pPr>
            <w:r w:rsidRPr="00E135D5">
              <w:rPr>
                <w:rFonts w:ascii="Arial" w:eastAsia="Times New Roman" w:hAnsi="Arial" w:cs="Arial"/>
                <w:b/>
                <w:bCs/>
                <w:sz w:val="16"/>
                <w:szCs w:val="16"/>
                <w:lang w:eastAsia="pt-BR"/>
              </w:rPr>
              <w:t xml:space="preserve">Limite de Investimentos no Exterior </w:t>
            </w:r>
          </w:p>
        </w:tc>
        <w:tc>
          <w:tcPr>
            <w:tcW w:w="132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b/>
                <w:bCs/>
                <w:sz w:val="16"/>
                <w:szCs w:val="16"/>
                <w:lang w:eastAsia="pt-BR"/>
              </w:rPr>
              <w:t>10,00%</w:t>
            </w:r>
          </w:p>
        </w:tc>
        <w:tc>
          <w:tcPr>
            <w:tcW w:w="234" w:type="dxa"/>
            <w:tcBorders>
              <w:top w:val="nil"/>
              <w:left w:val="nil"/>
              <w:bottom w:val="nil"/>
              <w:right w:val="single" w:sz="8" w:space="0" w:color="auto"/>
            </w:tcBorders>
            <w:tcMar>
              <w:top w:w="0" w:type="dxa"/>
              <w:left w:w="108" w:type="dxa"/>
              <w:bottom w:w="0" w:type="dxa"/>
              <w:right w:w="108" w:type="dxa"/>
            </w:tcMar>
            <w:vAlign w:val="center"/>
            <w:hideMark/>
          </w:tcPr>
          <w:p w:rsidR="00B75C56" w:rsidRPr="00B75C56" w:rsidRDefault="00B75C56" w:rsidP="00B75C56">
            <w:pPr>
              <w:spacing w:before="100" w:beforeAutospacing="1" w:after="0" w:line="240" w:lineRule="auto"/>
              <w:jc w:val="center"/>
              <w:rPr>
                <w:rFonts w:ascii="Times New Roman" w:eastAsia="Times New Roman" w:hAnsi="Times New Roman" w:cs="Times New Roman"/>
                <w:color w:val="FF0000"/>
                <w:sz w:val="24"/>
                <w:szCs w:val="24"/>
                <w:lang w:eastAsia="pt-BR"/>
              </w:rPr>
            </w:pPr>
            <w:r w:rsidRPr="00B75C56">
              <w:rPr>
                <w:rFonts w:ascii="Arial" w:eastAsia="Times New Roman" w:hAnsi="Arial" w:cs="Arial"/>
                <w:b/>
                <w:bCs/>
                <w:color w:val="FF0000"/>
                <w:sz w:val="24"/>
                <w:szCs w:val="24"/>
                <w:lang w:eastAsia="pt-BR"/>
              </w:rPr>
              <w:t> </w:t>
            </w:r>
          </w:p>
        </w:tc>
        <w:tc>
          <w:tcPr>
            <w:tcW w:w="132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b/>
                <w:bCs/>
                <w:sz w:val="16"/>
                <w:szCs w:val="16"/>
                <w:lang w:eastAsia="pt-BR"/>
              </w:rPr>
              <w:t>0,00%</w:t>
            </w:r>
          </w:p>
        </w:tc>
        <w:tc>
          <w:tcPr>
            <w:tcW w:w="132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b/>
                <w:bCs/>
                <w:sz w:val="16"/>
                <w:szCs w:val="16"/>
                <w:lang w:eastAsia="pt-BR"/>
              </w:rPr>
              <w:t>0,62%</w:t>
            </w:r>
          </w:p>
        </w:tc>
        <w:tc>
          <w:tcPr>
            <w:tcW w:w="133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b/>
                <w:bCs/>
                <w:sz w:val="16"/>
                <w:szCs w:val="16"/>
                <w:lang w:eastAsia="pt-BR"/>
              </w:rPr>
              <w:t>10,00%</w:t>
            </w:r>
          </w:p>
        </w:tc>
      </w:tr>
      <w:tr w:rsidR="00B75C56" w:rsidRPr="00B75C56" w:rsidTr="00B75C56">
        <w:trPr>
          <w:trHeight w:val="314"/>
        </w:trPr>
        <w:tc>
          <w:tcPr>
            <w:tcW w:w="1002" w:type="dxa"/>
            <w:tcBorders>
              <w:top w:val="nil"/>
              <w:left w:val="nil"/>
              <w:bottom w:val="nil"/>
              <w:right w:val="nil"/>
            </w:tcBorders>
            <w:tcMar>
              <w:top w:w="0" w:type="dxa"/>
              <w:left w:w="108" w:type="dxa"/>
              <w:bottom w:w="0" w:type="dxa"/>
              <w:right w:w="108" w:type="dxa"/>
            </w:tcMar>
            <w:vAlign w:val="center"/>
            <w:hideMark/>
          </w:tcPr>
          <w:p w:rsidR="00B75C56" w:rsidRPr="00B75C56" w:rsidRDefault="00B75C56" w:rsidP="00B75C56">
            <w:pPr>
              <w:spacing w:before="100" w:beforeAutospacing="1" w:after="0" w:line="240" w:lineRule="auto"/>
              <w:jc w:val="center"/>
              <w:rPr>
                <w:rFonts w:ascii="Times New Roman" w:eastAsia="Times New Roman" w:hAnsi="Times New Roman" w:cs="Times New Roman"/>
                <w:color w:val="FF0000"/>
                <w:sz w:val="24"/>
                <w:szCs w:val="24"/>
                <w:lang w:eastAsia="pt-BR"/>
              </w:rPr>
            </w:pPr>
            <w:r w:rsidRPr="00B75C56">
              <w:rPr>
                <w:rFonts w:ascii="Arial" w:eastAsia="Times New Roman" w:hAnsi="Arial" w:cs="Arial"/>
                <w:b/>
                <w:bCs/>
                <w:color w:val="FF0000"/>
                <w:sz w:val="16"/>
                <w:szCs w:val="16"/>
                <w:lang w:eastAsia="pt-BR"/>
              </w:rPr>
              <w:t> </w:t>
            </w:r>
          </w:p>
        </w:tc>
        <w:tc>
          <w:tcPr>
            <w:tcW w:w="3390" w:type="dxa"/>
            <w:tcBorders>
              <w:top w:val="nil"/>
              <w:left w:val="nil"/>
              <w:bottom w:val="single" w:sz="8" w:space="0" w:color="auto"/>
              <w:right w:val="nil"/>
            </w:tcBorders>
            <w:tcMar>
              <w:top w:w="0" w:type="dxa"/>
              <w:left w:w="108" w:type="dxa"/>
              <w:bottom w:w="0" w:type="dxa"/>
              <w:right w:w="108" w:type="dxa"/>
            </w:tcMar>
            <w:vAlign w:val="center"/>
            <w:hideMark/>
          </w:tcPr>
          <w:p w:rsidR="00B75C56" w:rsidRPr="00B75C56" w:rsidRDefault="00B75C56" w:rsidP="00B75C56">
            <w:pPr>
              <w:spacing w:before="100" w:beforeAutospacing="1" w:after="0" w:line="240" w:lineRule="auto"/>
              <w:rPr>
                <w:rFonts w:ascii="Times New Roman" w:eastAsia="Times New Roman" w:hAnsi="Times New Roman" w:cs="Times New Roman"/>
                <w:color w:val="FF0000"/>
                <w:sz w:val="24"/>
                <w:szCs w:val="24"/>
                <w:lang w:eastAsia="pt-BR"/>
              </w:rPr>
            </w:pPr>
            <w:r w:rsidRPr="00B75C56">
              <w:rPr>
                <w:rFonts w:ascii="Arial" w:eastAsia="Times New Roman" w:hAnsi="Arial" w:cs="Arial"/>
                <w:b/>
                <w:bCs/>
                <w:color w:val="FF0000"/>
                <w:sz w:val="24"/>
                <w:szCs w:val="24"/>
                <w:lang w:eastAsia="pt-BR"/>
              </w:rPr>
              <w:t> </w:t>
            </w:r>
          </w:p>
        </w:tc>
        <w:tc>
          <w:tcPr>
            <w:tcW w:w="1327" w:type="dxa"/>
            <w:tcBorders>
              <w:top w:val="nil"/>
              <w:left w:val="nil"/>
              <w:bottom w:val="single" w:sz="8" w:space="0" w:color="auto"/>
              <w:right w:val="nil"/>
            </w:tcBorders>
            <w:tcMar>
              <w:top w:w="0" w:type="dxa"/>
              <w:left w:w="108" w:type="dxa"/>
              <w:bottom w:w="0" w:type="dxa"/>
              <w:right w:w="108" w:type="dxa"/>
            </w:tcMar>
            <w:vAlign w:val="center"/>
            <w:hideMark/>
          </w:tcPr>
          <w:p w:rsidR="00B75C56" w:rsidRPr="00B75C56" w:rsidRDefault="00B75C56" w:rsidP="00B75C56">
            <w:pPr>
              <w:spacing w:before="100" w:beforeAutospacing="1" w:after="0" w:line="240" w:lineRule="auto"/>
              <w:jc w:val="center"/>
              <w:rPr>
                <w:rFonts w:ascii="Times New Roman" w:eastAsia="Times New Roman" w:hAnsi="Times New Roman" w:cs="Times New Roman"/>
                <w:color w:val="FF0000"/>
                <w:sz w:val="24"/>
                <w:szCs w:val="24"/>
                <w:lang w:eastAsia="pt-BR"/>
              </w:rPr>
            </w:pPr>
            <w:r w:rsidRPr="00B75C56">
              <w:rPr>
                <w:rFonts w:ascii="Arial" w:eastAsia="Times New Roman" w:hAnsi="Arial" w:cs="Arial"/>
                <w:b/>
                <w:bCs/>
                <w:color w:val="FF0000"/>
                <w:sz w:val="24"/>
                <w:szCs w:val="24"/>
                <w:lang w:eastAsia="pt-BR"/>
              </w:rPr>
              <w:t> </w:t>
            </w:r>
          </w:p>
        </w:tc>
        <w:tc>
          <w:tcPr>
            <w:tcW w:w="234" w:type="dxa"/>
            <w:tcBorders>
              <w:top w:val="nil"/>
              <w:left w:val="nil"/>
              <w:bottom w:val="nil"/>
              <w:right w:val="nil"/>
            </w:tcBorders>
            <w:tcMar>
              <w:top w:w="0" w:type="dxa"/>
              <w:left w:w="108" w:type="dxa"/>
              <w:bottom w:w="0" w:type="dxa"/>
              <w:right w:w="108" w:type="dxa"/>
            </w:tcMar>
            <w:vAlign w:val="center"/>
            <w:hideMark/>
          </w:tcPr>
          <w:p w:rsidR="00B75C56" w:rsidRPr="00B75C56" w:rsidRDefault="00B75C56" w:rsidP="00B75C56">
            <w:pPr>
              <w:spacing w:before="100" w:beforeAutospacing="1" w:after="0" w:line="240" w:lineRule="auto"/>
              <w:jc w:val="center"/>
              <w:rPr>
                <w:rFonts w:ascii="Times New Roman" w:eastAsia="Times New Roman" w:hAnsi="Times New Roman" w:cs="Times New Roman"/>
                <w:color w:val="FF0000"/>
                <w:sz w:val="24"/>
                <w:szCs w:val="24"/>
                <w:lang w:eastAsia="pt-BR"/>
              </w:rPr>
            </w:pPr>
            <w:r w:rsidRPr="00B75C56">
              <w:rPr>
                <w:rFonts w:ascii="Arial" w:eastAsia="Times New Roman" w:hAnsi="Arial" w:cs="Arial"/>
                <w:b/>
                <w:bCs/>
                <w:color w:val="FF0000"/>
                <w:sz w:val="24"/>
                <w:szCs w:val="24"/>
                <w:lang w:eastAsia="pt-BR"/>
              </w:rPr>
              <w:t> </w:t>
            </w:r>
          </w:p>
        </w:tc>
        <w:tc>
          <w:tcPr>
            <w:tcW w:w="1327" w:type="dxa"/>
            <w:tcBorders>
              <w:top w:val="nil"/>
              <w:left w:val="nil"/>
              <w:bottom w:val="single" w:sz="8" w:space="0" w:color="auto"/>
              <w:right w:val="nil"/>
            </w:tcBorders>
            <w:tcMar>
              <w:top w:w="0" w:type="dxa"/>
              <w:left w:w="108" w:type="dxa"/>
              <w:bottom w:w="0" w:type="dxa"/>
              <w:right w:w="108" w:type="dxa"/>
            </w:tcMar>
            <w:vAlign w:val="center"/>
            <w:hideMark/>
          </w:tcPr>
          <w:p w:rsidR="00B75C56" w:rsidRPr="00B75C56" w:rsidRDefault="00B75C56" w:rsidP="00B75C56">
            <w:pPr>
              <w:spacing w:before="100" w:beforeAutospacing="1" w:after="0" w:line="240" w:lineRule="auto"/>
              <w:jc w:val="center"/>
              <w:rPr>
                <w:rFonts w:ascii="Times New Roman" w:eastAsia="Times New Roman" w:hAnsi="Times New Roman" w:cs="Times New Roman"/>
                <w:color w:val="FF0000"/>
                <w:sz w:val="24"/>
                <w:szCs w:val="24"/>
                <w:lang w:eastAsia="pt-BR"/>
              </w:rPr>
            </w:pPr>
            <w:r w:rsidRPr="00B75C56">
              <w:rPr>
                <w:rFonts w:ascii="Arial" w:eastAsia="Times New Roman" w:hAnsi="Arial" w:cs="Arial"/>
                <w:b/>
                <w:bCs/>
                <w:color w:val="FF0000"/>
                <w:sz w:val="24"/>
                <w:szCs w:val="24"/>
                <w:lang w:eastAsia="pt-BR"/>
              </w:rPr>
              <w:t> </w:t>
            </w:r>
          </w:p>
        </w:tc>
        <w:tc>
          <w:tcPr>
            <w:tcW w:w="1327" w:type="dxa"/>
            <w:tcBorders>
              <w:top w:val="nil"/>
              <w:left w:val="nil"/>
              <w:bottom w:val="single" w:sz="8" w:space="0" w:color="auto"/>
              <w:right w:val="nil"/>
            </w:tcBorders>
            <w:tcMar>
              <w:top w:w="0" w:type="dxa"/>
              <w:left w:w="108" w:type="dxa"/>
              <w:bottom w:w="0" w:type="dxa"/>
              <w:right w:w="108" w:type="dxa"/>
            </w:tcMar>
            <w:vAlign w:val="center"/>
            <w:hideMark/>
          </w:tcPr>
          <w:p w:rsidR="00B75C56" w:rsidRPr="00B75C56" w:rsidRDefault="00B75C56" w:rsidP="00B75C56">
            <w:pPr>
              <w:spacing w:before="100" w:beforeAutospacing="1" w:after="0" w:line="240" w:lineRule="auto"/>
              <w:jc w:val="center"/>
              <w:rPr>
                <w:rFonts w:ascii="Times New Roman" w:eastAsia="Times New Roman" w:hAnsi="Times New Roman" w:cs="Times New Roman"/>
                <w:color w:val="FF0000"/>
                <w:sz w:val="24"/>
                <w:szCs w:val="24"/>
                <w:lang w:eastAsia="pt-BR"/>
              </w:rPr>
            </w:pPr>
            <w:r w:rsidRPr="00B75C56">
              <w:rPr>
                <w:rFonts w:ascii="Arial" w:eastAsia="Times New Roman" w:hAnsi="Arial" w:cs="Arial"/>
                <w:b/>
                <w:bCs/>
                <w:color w:val="FF0000"/>
                <w:sz w:val="24"/>
                <w:szCs w:val="24"/>
                <w:lang w:eastAsia="pt-BR"/>
              </w:rPr>
              <w:t> </w:t>
            </w:r>
          </w:p>
        </w:tc>
        <w:tc>
          <w:tcPr>
            <w:tcW w:w="1330" w:type="dxa"/>
            <w:tcBorders>
              <w:top w:val="nil"/>
              <w:left w:val="nil"/>
              <w:bottom w:val="single" w:sz="8" w:space="0" w:color="auto"/>
              <w:right w:val="nil"/>
            </w:tcBorders>
            <w:tcMar>
              <w:top w:w="0" w:type="dxa"/>
              <w:left w:w="108" w:type="dxa"/>
              <w:bottom w:w="0" w:type="dxa"/>
              <w:right w:w="108" w:type="dxa"/>
            </w:tcMar>
            <w:vAlign w:val="center"/>
            <w:hideMark/>
          </w:tcPr>
          <w:p w:rsidR="00B75C56" w:rsidRPr="00B75C56" w:rsidRDefault="00B75C56" w:rsidP="00B75C56">
            <w:pPr>
              <w:spacing w:before="100" w:beforeAutospacing="1" w:after="0" w:line="240" w:lineRule="auto"/>
              <w:jc w:val="center"/>
              <w:rPr>
                <w:rFonts w:ascii="Times New Roman" w:eastAsia="Times New Roman" w:hAnsi="Times New Roman" w:cs="Times New Roman"/>
                <w:color w:val="FF0000"/>
                <w:sz w:val="24"/>
                <w:szCs w:val="24"/>
                <w:lang w:eastAsia="pt-BR"/>
              </w:rPr>
            </w:pPr>
            <w:r w:rsidRPr="00B75C56">
              <w:rPr>
                <w:rFonts w:ascii="Arial" w:eastAsia="Times New Roman" w:hAnsi="Arial" w:cs="Arial"/>
                <w:b/>
                <w:bCs/>
                <w:color w:val="FF0000"/>
                <w:sz w:val="24"/>
                <w:szCs w:val="24"/>
                <w:lang w:eastAsia="pt-BR"/>
              </w:rPr>
              <w:t> </w:t>
            </w:r>
          </w:p>
        </w:tc>
      </w:tr>
      <w:tr w:rsidR="00B75C56" w:rsidRPr="00B75C56" w:rsidTr="00B75C56">
        <w:trPr>
          <w:trHeight w:val="341"/>
        </w:trPr>
        <w:tc>
          <w:tcPr>
            <w:tcW w:w="1002" w:type="dxa"/>
            <w:tcBorders>
              <w:top w:val="nil"/>
              <w:left w:val="nil"/>
              <w:bottom w:val="nil"/>
              <w:right w:val="single" w:sz="8" w:space="0" w:color="auto"/>
            </w:tcBorders>
            <w:tcMar>
              <w:top w:w="0" w:type="dxa"/>
              <w:left w:w="108" w:type="dxa"/>
              <w:bottom w:w="0" w:type="dxa"/>
              <w:right w:w="108" w:type="dxa"/>
            </w:tcMar>
            <w:vAlign w:val="center"/>
            <w:hideMark/>
          </w:tcPr>
          <w:p w:rsidR="00B75C56" w:rsidRPr="00B75C56" w:rsidRDefault="00B75C56" w:rsidP="00B75C56">
            <w:pPr>
              <w:spacing w:before="100" w:beforeAutospacing="1" w:after="0" w:line="240" w:lineRule="auto"/>
              <w:jc w:val="center"/>
              <w:rPr>
                <w:rFonts w:ascii="Times New Roman" w:eastAsia="Times New Roman" w:hAnsi="Times New Roman" w:cs="Times New Roman"/>
                <w:color w:val="FF0000"/>
                <w:sz w:val="24"/>
                <w:szCs w:val="24"/>
                <w:lang w:eastAsia="pt-BR"/>
              </w:rPr>
            </w:pPr>
            <w:r w:rsidRPr="00B75C56">
              <w:rPr>
                <w:rFonts w:ascii="Arial" w:eastAsia="Times New Roman" w:hAnsi="Arial" w:cs="Arial"/>
                <w:b/>
                <w:bCs/>
                <w:color w:val="FF0000"/>
                <w:sz w:val="24"/>
                <w:szCs w:val="24"/>
                <w:lang w:eastAsia="pt-BR"/>
              </w:rPr>
              <w:t> </w:t>
            </w:r>
          </w:p>
        </w:tc>
        <w:tc>
          <w:tcPr>
            <w:tcW w:w="3390" w:type="dxa"/>
            <w:tcBorders>
              <w:top w:val="nil"/>
              <w:left w:val="nil"/>
              <w:bottom w:val="single" w:sz="8" w:space="0" w:color="auto"/>
              <w:right w:val="single" w:sz="8" w:space="0" w:color="D9D9D9"/>
            </w:tcBorders>
            <w:shd w:val="clear" w:color="auto" w:fill="D9D9D9"/>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rPr>
                <w:rFonts w:ascii="Times New Roman" w:eastAsia="Times New Roman" w:hAnsi="Times New Roman" w:cs="Times New Roman"/>
                <w:sz w:val="24"/>
                <w:szCs w:val="24"/>
                <w:lang w:eastAsia="pt-BR"/>
              </w:rPr>
            </w:pPr>
            <w:r w:rsidRPr="00E135D5">
              <w:rPr>
                <w:rFonts w:ascii="Arial" w:eastAsia="Times New Roman" w:hAnsi="Arial" w:cs="Arial"/>
                <w:b/>
                <w:bCs/>
                <w:sz w:val="16"/>
                <w:szCs w:val="16"/>
                <w:lang w:eastAsia="pt-BR"/>
              </w:rPr>
              <w:t xml:space="preserve">Total da Carteira de Investimentos </w:t>
            </w:r>
          </w:p>
        </w:tc>
        <w:tc>
          <w:tcPr>
            <w:tcW w:w="132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B75C56" w:rsidRPr="00E135D5" w:rsidRDefault="00B75C56" w:rsidP="00B75C56">
            <w:pPr>
              <w:spacing w:after="0" w:line="240" w:lineRule="auto"/>
              <w:rPr>
                <w:rFonts w:ascii="Times New Roman" w:eastAsia="Times New Roman" w:hAnsi="Times New Roman" w:cs="Times New Roman"/>
                <w:sz w:val="24"/>
                <w:szCs w:val="24"/>
                <w:lang w:eastAsia="pt-BR"/>
              </w:rPr>
            </w:pPr>
          </w:p>
        </w:tc>
        <w:tc>
          <w:tcPr>
            <w:tcW w:w="234" w:type="dxa"/>
            <w:tcBorders>
              <w:top w:val="nil"/>
              <w:left w:val="nil"/>
              <w:bottom w:val="nil"/>
              <w:right w:val="single" w:sz="8" w:space="0" w:color="auto"/>
            </w:tcBorders>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b/>
                <w:bCs/>
                <w:sz w:val="24"/>
                <w:szCs w:val="24"/>
                <w:lang w:eastAsia="pt-BR"/>
              </w:rPr>
              <w:t> </w:t>
            </w:r>
          </w:p>
        </w:tc>
        <w:tc>
          <w:tcPr>
            <w:tcW w:w="132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b/>
                <w:bCs/>
                <w:sz w:val="16"/>
                <w:szCs w:val="16"/>
                <w:lang w:eastAsia="pt-BR"/>
              </w:rPr>
              <w:t>19,05%</w:t>
            </w:r>
          </w:p>
        </w:tc>
        <w:tc>
          <w:tcPr>
            <w:tcW w:w="132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b/>
                <w:bCs/>
                <w:sz w:val="16"/>
                <w:szCs w:val="16"/>
                <w:lang w:eastAsia="pt-BR"/>
              </w:rPr>
              <w:t>100,00%</w:t>
            </w:r>
          </w:p>
        </w:tc>
        <w:tc>
          <w:tcPr>
            <w:tcW w:w="133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B75C56" w:rsidRPr="00E135D5"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E135D5">
              <w:rPr>
                <w:rFonts w:ascii="Arial" w:eastAsia="Times New Roman" w:hAnsi="Arial" w:cs="Arial"/>
                <w:b/>
                <w:bCs/>
                <w:sz w:val="16"/>
                <w:szCs w:val="16"/>
                <w:lang w:eastAsia="pt-BR"/>
              </w:rPr>
              <w:t>166,43%</w:t>
            </w:r>
          </w:p>
        </w:tc>
      </w:tr>
    </w:tbl>
    <w:p w:rsidR="00B75C56" w:rsidRPr="00E135D5" w:rsidRDefault="00B75C56" w:rsidP="00B75C56">
      <w:pPr>
        <w:spacing w:before="60" w:after="60" w:line="240" w:lineRule="auto"/>
        <w:rPr>
          <w:rFonts w:ascii="Times New Roman" w:eastAsia="Times New Roman" w:hAnsi="Times New Roman" w:cs="Times New Roman"/>
          <w:sz w:val="24"/>
          <w:szCs w:val="24"/>
          <w:lang w:eastAsia="pt-BR"/>
        </w:rPr>
      </w:pPr>
      <w:r w:rsidRPr="00B75C56">
        <w:rPr>
          <w:rFonts w:ascii="Arial" w:eastAsia="Times New Roman" w:hAnsi="Arial" w:cs="Arial"/>
          <w:color w:val="FF0000"/>
          <w:sz w:val="20"/>
          <w:szCs w:val="20"/>
          <w:lang w:eastAsia="pt-BR"/>
        </w:rPr>
        <w:br w:type="page"/>
      </w:r>
      <w:r w:rsidRPr="00E135D5">
        <w:rPr>
          <w:rFonts w:ascii="Arial" w:eastAsia="Times New Roman" w:hAnsi="Arial" w:cs="Arial"/>
          <w:b/>
          <w:bCs/>
          <w:sz w:val="18"/>
          <w:szCs w:val="18"/>
          <w:lang w:eastAsia="pt-BR"/>
        </w:rPr>
        <w:lastRenderedPageBreak/>
        <w:t xml:space="preserve">Alocação Estratégica para os próximos </w:t>
      </w:r>
      <w:proofErr w:type="gramStart"/>
      <w:r w:rsidRPr="00E135D5">
        <w:rPr>
          <w:rFonts w:ascii="Arial" w:eastAsia="Times New Roman" w:hAnsi="Arial" w:cs="Arial"/>
          <w:b/>
          <w:bCs/>
          <w:sz w:val="18"/>
          <w:szCs w:val="18"/>
          <w:lang w:eastAsia="pt-BR"/>
        </w:rPr>
        <w:t>5</w:t>
      </w:r>
      <w:proofErr w:type="gramEnd"/>
      <w:r w:rsidRPr="00E135D5">
        <w:rPr>
          <w:rFonts w:ascii="Arial" w:eastAsia="Times New Roman" w:hAnsi="Arial" w:cs="Arial"/>
          <w:b/>
          <w:bCs/>
          <w:sz w:val="18"/>
          <w:szCs w:val="18"/>
          <w:lang w:eastAsia="pt-BR"/>
        </w:rPr>
        <w:t xml:space="preserve"> anos</w:t>
      </w:r>
    </w:p>
    <w:tbl>
      <w:tblPr>
        <w:tblW w:w="0" w:type="auto"/>
        <w:tblCellMar>
          <w:left w:w="0" w:type="dxa"/>
          <w:right w:w="0" w:type="dxa"/>
        </w:tblCellMar>
        <w:tblLook w:val="04A0"/>
      </w:tblPr>
      <w:tblGrid>
        <w:gridCol w:w="1124"/>
        <w:gridCol w:w="3567"/>
        <w:gridCol w:w="1454"/>
        <w:gridCol w:w="283"/>
        <w:gridCol w:w="1423"/>
        <w:gridCol w:w="1436"/>
      </w:tblGrid>
      <w:tr w:rsidR="00B75C56" w:rsidRPr="00B75C56" w:rsidTr="00B75C56">
        <w:trPr>
          <w:trHeight w:val="784"/>
        </w:trPr>
        <w:tc>
          <w:tcPr>
            <w:tcW w:w="1143" w:type="dxa"/>
            <w:tcBorders>
              <w:top w:val="nil"/>
              <w:left w:val="nil"/>
              <w:bottom w:val="single" w:sz="8" w:space="0" w:color="auto"/>
              <w:right w:val="nil"/>
            </w:tcBorders>
            <w:tcMar>
              <w:top w:w="0" w:type="dxa"/>
              <w:left w:w="108" w:type="dxa"/>
              <w:bottom w:w="0" w:type="dxa"/>
              <w:right w:w="108" w:type="dxa"/>
            </w:tcMar>
            <w:hideMark/>
          </w:tcPr>
          <w:p w:rsidR="00B75C56" w:rsidRPr="00B75C56" w:rsidRDefault="00B75C56" w:rsidP="00B75C56">
            <w:pPr>
              <w:spacing w:before="100" w:beforeAutospacing="1" w:after="0" w:line="240" w:lineRule="auto"/>
              <w:jc w:val="center"/>
              <w:rPr>
                <w:rFonts w:ascii="Times New Roman" w:eastAsia="Times New Roman" w:hAnsi="Times New Roman" w:cs="Times New Roman"/>
                <w:color w:val="FF0000"/>
                <w:sz w:val="24"/>
                <w:szCs w:val="24"/>
                <w:lang w:eastAsia="pt-BR"/>
              </w:rPr>
            </w:pPr>
            <w:r w:rsidRPr="00B75C56">
              <w:rPr>
                <w:rFonts w:ascii="Arial" w:eastAsia="Times New Roman" w:hAnsi="Arial" w:cs="Arial"/>
                <w:b/>
                <w:bCs/>
                <w:color w:val="FF0000"/>
                <w:sz w:val="24"/>
                <w:szCs w:val="24"/>
                <w:lang w:eastAsia="pt-BR"/>
              </w:rPr>
              <w:t> </w:t>
            </w:r>
          </w:p>
        </w:tc>
        <w:tc>
          <w:tcPr>
            <w:tcW w:w="3868" w:type="dxa"/>
            <w:tcBorders>
              <w:top w:val="nil"/>
              <w:left w:val="nil"/>
              <w:bottom w:val="single" w:sz="8" w:space="0" w:color="auto"/>
              <w:right w:val="nil"/>
            </w:tcBorders>
            <w:tcMar>
              <w:top w:w="0" w:type="dxa"/>
              <w:left w:w="108" w:type="dxa"/>
              <w:bottom w:w="0" w:type="dxa"/>
              <w:right w:w="108" w:type="dxa"/>
            </w:tcMar>
            <w:hideMark/>
          </w:tcPr>
          <w:p w:rsidR="00B75C56" w:rsidRPr="00B75C56" w:rsidRDefault="00B75C56" w:rsidP="00B75C56">
            <w:pPr>
              <w:spacing w:before="100" w:beforeAutospacing="1" w:after="0" w:line="240" w:lineRule="auto"/>
              <w:jc w:val="center"/>
              <w:rPr>
                <w:rFonts w:ascii="Times New Roman" w:eastAsia="Times New Roman" w:hAnsi="Times New Roman" w:cs="Times New Roman"/>
                <w:color w:val="FF0000"/>
                <w:sz w:val="24"/>
                <w:szCs w:val="24"/>
                <w:lang w:eastAsia="pt-BR"/>
              </w:rPr>
            </w:pPr>
            <w:r w:rsidRPr="00B75C56">
              <w:rPr>
                <w:rFonts w:ascii="Arial" w:eastAsia="Times New Roman" w:hAnsi="Arial" w:cs="Arial"/>
                <w:b/>
                <w:bCs/>
                <w:color w:val="FF0000"/>
                <w:sz w:val="24"/>
                <w:szCs w:val="24"/>
                <w:lang w:eastAsia="pt-BR"/>
              </w:rPr>
              <w:t> </w:t>
            </w:r>
          </w:p>
        </w:tc>
        <w:tc>
          <w:tcPr>
            <w:tcW w:w="1514" w:type="dxa"/>
            <w:tcBorders>
              <w:top w:val="nil"/>
              <w:left w:val="nil"/>
              <w:bottom w:val="single" w:sz="8" w:space="0" w:color="auto"/>
              <w:right w:val="nil"/>
            </w:tcBorders>
            <w:tcMar>
              <w:top w:w="0" w:type="dxa"/>
              <w:left w:w="108" w:type="dxa"/>
              <w:bottom w:w="0" w:type="dxa"/>
              <w:right w:w="108" w:type="dxa"/>
            </w:tcMar>
            <w:hideMark/>
          </w:tcPr>
          <w:p w:rsidR="00B75C56" w:rsidRPr="00B75C56" w:rsidRDefault="00B75C56" w:rsidP="00B75C56">
            <w:pPr>
              <w:spacing w:before="100" w:beforeAutospacing="1" w:after="0" w:line="240" w:lineRule="auto"/>
              <w:jc w:val="center"/>
              <w:rPr>
                <w:rFonts w:ascii="Times New Roman" w:eastAsia="Times New Roman" w:hAnsi="Times New Roman" w:cs="Times New Roman"/>
                <w:color w:val="FF0000"/>
                <w:sz w:val="24"/>
                <w:szCs w:val="24"/>
                <w:lang w:eastAsia="pt-BR"/>
              </w:rPr>
            </w:pPr>
            <w:r w:rsidRPr="00B75C56">
              <w:rPr>
                <w:rFonts w:ascii="Arial" w:eastAsia="Times New Roman" w:hAnsi="Arial" w:cs="Arial"/>
                <w:b/>
                <w:bCs/>
                <w:color w:val="FF0000"/>
                <w:sz w:val="24"/>
                <w:szCs w:val="24"/>
                <w:lang w:eastAsia="pt-BR"/>
              </w:rPr>
              <w:t> </w:t>
            </w:r>
          </w:p>
        </w:tc>
        <w:tc>
          <w:tcPr>
            <w:tcW w:w="267" w:type="dxa"/>
            <w:tcBorders>
              <w:top w:val="nil"/>
              <w:left w:val="nil"/>
              <w:bottom w:val="nil"/>
              <w:right w:val="single" w:sz="8" w:space="0" w:color="auto"/>
            </w:tcBorders>
            <w:tcMar>
              <w:top w:w="0" w:type="dxa"/>
              <w:left w:w="108" w:type="dxa"/>
              <w:bottom w:w="0" w:type="dxa"/>
              <w:right w:w="108" w:type="dxa"/>
            </w:tcMar>
            <w:hideMark/>
          </w:tcPr>
          <w:p w:rsidR="00B75C56" w:rsidRPr="00B75C56" w:rsidRDefault="00B75C56" w:rsidP="00B75C56">
            <w:pPr>
              <w:spacing w:before="100" w:beforeAutospacing="1" w:after="0" w:line="240" w:lineRule="auto"/>
              <w:jc w:val="center"/>
              <w:rPr>
                <w:rFonts w:ascii="Times New Roman" w:eastAsia="Times New Roman" w:hAnsi="Times New Roman" w:cs="Times New Roman"/>
                <w:color w:val="FF0000"/>
                <w:sz w:val="24"/>
                <w:szCs w:val="24"/>
                <w:lang w:eastAsia="pt-BR"/>
              </w:rPr>
            </w:pPr>
            <w:r w:rsidRPr="00B75C56">
              <w:rPr>
                <w:rFonts w:ascii="Arial" w:eastAsia="Times New Roman" w:hAnsi="Arial" w:cs="Arial"/>
                <w:b/>
                <w:bCs/>
                <w:color w:val="FF0000"/>
                <w:sz w:val="24"/>
                <w:szCs w:val="24"/>
                <w:lang w:eastAsia="pt-BR"/>
              </w:rPr>
              <w:t> </w:t>
            </w:r>
          </w:p>
        </w:tc>
        <w:tc>
          <w:tcPr>
            <w:tcW w:w="3030"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B75C56" w:rsidRPr="00DE2EA6" w:rsidRDefault="00B75C56" w:rsidP="00B75C56">
            <w:pPr>
              <w:spacing w:before="60" w:after="60" w:line="240" w:lineRule="auto"/>
              <w:jc w:val="center"/>
              <w:rPr>
                <w:rFonts w:ascii="Times New Roman" w:eastAsia="Times New Roman" w:hAnsi="Times New Roman" w:cs="Times New Roman"/>
                <w:sz w:val="24"/>
                <w:szCs w:val="24"/>
                <w:lang w:eastAsia="pt-BR"/>
              </w:rPr>
            </w:pPr>
            <w:r w:rsidRPr="00DE2EA6">
              <w:rPr>
                <w:rFonts w:ascii="Arial" w:eastAsia="Times New Roman" w:hAnsi="Arial" w:cs="Arial"/>
                <w:b/>
                <w:bCs/>
                <w:sz w:val="16"/>
                <w:szCs w:val="16"/>
                <w:lang w:eastAsia="pt-BR"/>
              </w:rPr>
              <w:t>Estratégia de Alocação - Política de Investimento de 2021</w:t>
            </w:r>
          </w:p>
        </w:tc>
      </w:tr>
      <w:tr w:rsidR="00B75C56" w:rsidRPr="00B75C56" w:rsidTr="00B75C56">
        <w:trPr>
          <w:trHeight w:val="639"/>
        </w:trPr>
        <w:tc>
          <w:tcPr>
            <w:tcW w:w="114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B75C56" w:rsidRPr="00DE2EA6"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DE2EA6">
              <w:rPr>
                <w:rFonts w:ascii="Arial" w:eastAsia="Times New Roman" w:hAnsi="Arial" w:cs="Arial"/>
                <w:b/>
                <w:bCs/>
                <w:sz w:val="16"/>
                <w:szCs w:val="16"/>
                <w:lang w:eastAsia="pt-BR"/>
              </w:rPr>
              <w:t>Segmento</w:t>
            </w:r>
          </w:p>
        </w:tc>
        <w:tc>
          <w:tcPr>
            <w:tcW w:w="386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B75C56" w:rsidRPr="00DE2EA6"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DE2EA6">
              <w:rPr>
                <w:rFonts w:ascii="Arial" w:eastAsia="Times New Roman" w:hAnsi="Arial" w:cs="Arial"/>
                <w:b/>
                <w:bCs/>
                <w:sz w:val="16"/>
                <w:szCs w:val="16"/>
                <w:lang w:eastAsia="pt-BR"/>
              </w:rPr>
              <w:t>Tipo de Ativo</w:t>
            </w:r>
          </w:p>
        </w:tc>
        <w:tc>
          <w:tcPr>
            <w:tcW w:w="151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B75C56" w:rsidRPr="00DE2EA6"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DE2EA6">
              <w:rPr>
                <w:rFonts w:ascii="Arial" w:eastAsia="Times New Roman" w:hAnsi="Arial" w:cs="Arial"/>
                <w:b/>
                <w:bCs/>
                <w:sz w:val="16"/>
                <w:szCs w:val="16"/>
                <w:lang w:eastAsia="pt-BR"/>
              </w:rPr>
              <w:t>Limite da Resolução CMN %</w:t>
            </w:r>
          </w:p>
        </w:tc>
        <w:tc>
          <w:tcPr>
            <w:tcW w:w="267" w:type="dxa"/>
            <w:tcBorders>
              <w:top w:val="nil"/>
              <w:left w:val="nil"/>
              <w:bottom w:val="nil"/>
              <w:right w:val="single" w:sz="8" w:space="0" w:color="auto"/>
            </w:tcBorders>
            <w:tcMar>
              <w:top w:w="0" w:type="dxa"/>
              <w:left w:w="108" w:type="dxa"/>
              <w:bottom w:w="0" w:type="dxa"/>
              <w:right w:w="108" w:type="dxa"/>
            </w:tcMar>
            <w:hideMark/>
          </w:tcPr>
          <w:p w:rsidR="00B75C56" w:rsidRPr="00B75C56" w:rsidRDefault="00B75C56" w:rsidP="00B75C56">
            <w:pPr>
              <w:spacing w:before="100" w:beforeAutospacing="1" w:after="0" w:line="240" w:lineRule="auto"/>
              <w:jc w:val="center"/>
              <w:rPr>
                <w:rFonts w:ascii="Times New Roman" w:eastAsia="Times New Roman" w:hAnsi="Times New Roman" w:cs="Times New Roman"/>
                <w:color w:val="FF0000"/>
                <w:sz w:val="24"/>
                <w:szCs w:val="24"/>
                <w:lang w:eastAsia="pt-BR"/>
              </w:rPr>
            </w:pPr>
            <w:r w:rsidRPr="00B75C56">
              <w:rPr>
                <w:rFonts w:ascii="Arial" w:eastAsia="Times New Roman" w:hAnsi="Arial" w:cs="Arial"/>
                <w:b/>
                <w:bCs/>
                <w:color w:val="FF0000"/>
                <w:sz w:val="24"/>
                <w:szCs w:val="24"/>
                <w:lang w:eastAsia="pt-BR"/>
              </w:rPr>
              <w:t> </w:t>
            </w:r>
          </w:p>
        </w:tc>
        <w:tc>
          <w:tcPr>
            <w:tcW w:w="151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B75C56" w:rsidRPr="00DE2EA6" w:rsidRDefault="00B75C56" w:rsidP="00B75C56">
            <w:pPr>
              <w:spacing w:before="60" w:after="60" w:line="240" w:lineRule="auto"/>
              <w:jc w:val="center"/>
              <w:rPr>
                <w:rFonts w:ascii="Times New Roman" w:eastAsia="Times New Roman" w:hAnsi="Times New Roman" w:cs="Times New Roman"/>
                <w:sz w:val="24"/>
                <w:szCs w:val="24"/>
                <w:lang w:eastAsia="pt-BR"/>
              </w:rPr>
            </w:pPr>
            <w:r w:rsidRPr="00DE2EA6">
              <w:rPr>
                <w:rFonts w:ascii="Arial" w:eastAsia="Times New Roman" w:hAnsi="Arial" w:cs="Arial"/>
                <w:b/>
                <w:bCs/>
                <w:sz w:val="16"/>
                <w:szCs w:val="16"/>
                <w:lang w:eastAsia="pt-BR"/>
              </w:rPr>
              <w:t>Limite Inferior (%)</w:t>
            </w:r>
          </w:p>
        </w:tc>
        <w:tc>
          <w:tcPr>
            <w:tcW w:w="151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B75C56" w:rsidRPr="00DE2EA6" w:rsidRDefault="00B75C56" w:rsidP="00B75C56">
            <w:pPr>
              <w:spacing w:before="60" w:after="60" w:line="240" w:lineRule="auto"/>
              <w:jc w:val="center"/>
              <w:rPr>
                <w:rFonts w:ascii="Times New Roman" w:eastAsia="Times New Roman" w:hAnsi="Times New Roman" w:cs="Times New Roman"/>
                <w:sz w:val="24"/>
                <w:szCs w:val="24"/>
                <w:lang w:eastAsia="pt-BR"/>
              </w:rPr>
            </w:pPr>
            <w:r w:rsidRPr="00DE2EA6">
              <w:rPr>
                <w:rFonts w:ascii="Arial" w:eastAsia="Times New Roman" w:hAnsi="Arial" w:cs="Arial"/>
                <w:b/>
                <w:bCs/>
                <w:sz w:val="16"/>
                <w:szCs w:val="16"/>
                <w:lang w:eastAsia="pt-BR"/>
              </w:rPr>
              <w:t>Limite Superior (%)</w:t>
            </w:r>
          </w:p>
        </w:tc>
      </w:tr>
      <w:tr w:rsidR="00B75C56" w:rsidRPr="00B75C56" w:rsidTr="000841C9">
        <w:trPr>
          <w:trHeight w:val="310"/>
        </w:trPr>
        <w:tc>
          <w:tcPr>
            <w:tcW w:w="1143" w:type="dxa"/>
            <w:vMerge w:val="restar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B75C56" w:rsidRPr="00DE2EA6"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DE2EA6">
              <w:rPr>
                <w:rFonts w:ascii="Arial" w:eastAsia="Times New Roman" w:hAnsi="Arial" w:cs="Arial"/>
                <w:b/>
                <w:bCs/>
                <w:sz w:val="16"/>
                <w:szCs w:val="16"/>
                <w:lang w:eastAsia="pt-BR"/>
              </w:rPr>
              <w:t>Renda Fixa</w:t>
            </w:r>
          </w:p>
        </w:tc>
        <w:tc>
          <w:tcPr>
            <w:tcW w:w="3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DE2EA6" w:rsidRDefault="00B75C56" w:rsidP="00B75C56">
            <w:pPr>
              <w:spacing w:before="100" w:beforeAutospacing="1" w:after="0" w:line="240" w:lineRule="auto"/>
              <w:rPr>
                <w:rFonts w:ascii="Times New Roman" w:eastAsia="Times New Roman" w:hAnsi="Times New Roman" w:cs="Times New Roman"/>
                <w:sz w:val="24"/>
                <w:szCs w:val="24"/>
                <w:lang w:eastAsia="pt-BR"/>
              </w:rPr>
            </w:pPr>
            <w:r w:rsidRPr="00DE2EA6">
              <w:rPr>
                <w:rFonts w:ascii="Arial" w:eastAsia="Times New Roman" w:hAnsi="Arial" w:cs="Arial"/>
                <w:sz w:val="16"/>
                <w:szCs w:val="16"/>
                <w:lang w:eastAsia="pt-BR"/>
              </w:rPr>
              <w:t>7º I a - Títulos do Tesouro Nacional SELIC</w:t>
            </w:r>
          </w:p>
        </w:tc>
        <w:tc>
          <w:tcPr>
            <w:tcW w:w="1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DE2EA6"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DE2EA6">
              <w:rPr>
                <w:rFonts w:ascii="Arial" w:eastAsia="Times New Roman" w:hAnsi="Arial" w:cs="Arial"/>
                <w:sz w:val="16"/>
                <w:szCs w:val="16"/>
                <w:lang w:eastAsia="pt-BR"/>
              </w:rPr>
              <w:t>100,00%</w:t>
            </w:r>
          </w:p>
        </w:tc>
        <w:tc>
          <w:tcPr>
            <w:tcW w:w="267" w:type="dxa"/>
            <w:tcBorders>
              <w:top w:val="nil"/>
              <w:left w:val="nil"/>
              <w:bottom w:val="nil"/>
              <w:right w:val="single" w:sz="8" w:space="0" w:color="auto"/>
            </w:tcBorders>
            <w:tcMar>
              <w:top w:w="0" w:type="dxa"/>
              <w:left w:w="108" w:type="dxa"/>
              <w:bottom w:w="0" w:type="dxa"/>
              <w:right w:w="108" w:type="dxa"/>
            </w:tcMar>
            <w:vAlign w:val="center"/>
            <w:hideMark/>
          </w:tcPr>
          <w:p w:rsidR="00B75C56" w:rsidRPr="00B75C56" w:rsidRDefault="00B75C56" w:rsidP="00B75C56">
            <w:pPr>
              <w:spacing w:before="100" w:beforeAutospacing="1" w:after="0" w:line="240" w:lineRule="auto"/>
              <w:jc w:val="center"/>
              <w:rPr>
                <w:rFonts w:ascii="Times New Roman" w:eastAsia="Times New Roman" w:hAnsi="Times New Roman" w:cs="Times New Roman"/>
                <w:color w:val="FF0000"/>
                <w:sz w:val="24"/>
                <w:szCs w:val="24"/>
                <w:lang w:eastAsia="pt-BR"/>
              </w:rPr>
            </w:pPr>
            <w:r w:rsidRPr="00B75C56">
              <w:rPr>
                <w:rFonts w:ascii="Arial" w:eastAsia="Times New Roman" w:hAnsi="Arial" w:cs="Arial"/>
                <w:color w:val="FF0000"/>
                <w:sz w:val="24"/>
                <w:szCs w:val="24"/>
                <w:lang w:eastAsia="pt-BR"/>
              </w:rPr>
              <w:t> </w:t>
            </w:r>
          </w:p>
        </w:tc>
        <w:tc>
          <w:tcPr>
            <w:tcW w:w="15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3B2292" w:rsidRDefault="00B75C56" w:rsidP="000841C9">
            <w:pPr>
              <w:spacing w:before="100" w:beforeAutospacing="1" w:after="0" w:line="240" w:lineRule="auto"/>
              <w:jc w:val="center"/>
              <w:rPr>
                <w:rFonts w:ascii="Times New Roman" w:eastAsia="Times New Roman" w:hAnsi="Times New Roman" w:cs="Times New Roman"/>
                <w:sz w:val="24"/>
                <w:szCs w:val="24"/>
                <w:lang w:eastAsia="pt-BR"/>
              </w:rPr>
            </w:pPr>
            <w:r w:rsidRPr="003B2292">
              <w:rPr>
                <w:rFonts w:ascii="Arial" w:eastAsia="Times New Roman" w:hAnsi="Arial" w:cs="Arial"/>
                <w:sz w:val="16"/>
                <w:szCs w:val="16"/>
                <w:lang w:eastAsia="pt-BR"/>
              </w:rPr>
              <w:t>0,00%</w:t>
            </w:r>
          </w:p>
        </w:tc>
        <w:tc>
          <w:tcPr>
            <w:tcW w:w="15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3B2292" w:rsidRDefault="00B75C56" w:rsidP="000841C9">
            <w:pPr>
              <w:spacing w:before="100" w:beforeAutospacing="1" w:after="0" w:line="240" w:lineRule="auto"/>
              <w:jc w:val="center"/>
              <w:rPr>
                <w:rFonts w:ascii="Times New Roman" w:eastAsia="Times New Roman" w:hAnsi="Times New Roman" w:cs="Times New Roman"/>
                <w:sz w:val="24"/>
                <w:szCs w:val="24"/>
                <w:lang w:eastAsia="pt-BR"/>
              </w:rPr>
            </w:pPr>
            <w:r w:rsidRPr="003B2292">
              <w:rPr>
                <w:rFonts w:ascii="Arial" w:eastAsia="Times New Roman" w:hAnsi="Arial" w:cs="Arial"/>
                <w:sz w:val="16"/>
                <w:szCs w:val="16"/>
                <w:lang w:eastAsia="pt-BR"/>
              </w:rPr>
              <w:t>20,00%</w:t>
            </w:r>
          </w:p>
        </w:tc>
      </w:tr>
      <w:tr w:rsidR="00B75C56" w:rsidRPr="00B75C56" w:rsidTr="000841C9">
        <w:trPr>
          <w:trHeight w:val="337"/>
        </w:trPr>
        <w:tc>
          <w:tcPr>
            <w:tcW w:w="0" w:type="auto"/>
            <w:vMerge/>
            <w:tcBorders>
              <w:top w:val="nil"/>
              <w:left w:val="single" w:sz="8" w:space="0" w:color="auto"/>
              <w:bottom w:val="single" w:sz="8" w:space="0" w:color="auto"/>
              <w:right w:val="single" w:sz="8" w:space="0" w:color="auto"/>
            </w:tcBorders>
            <w:vAlign w:val="center"/>
            <w:hideMark/>
          </w:tcPr>
          <w:p w:rsidR="00B75C56" w:rsidRPr="00DE2EA6" w:rsidRDefault="00B75C56" w:rsidP="00B75C56">
            <w:pPr>
              <w:spacing w:after="0" w:line="240" w:lineRule="auto"/>
              <w:rPr>
                <w:rFonts w:ascii="Times New Roman" w:eastAsia="Times New Roman" w:hAnsi="Times New Roman" w:cs="Times New Roman"/>
                <w:sz w:val="24"/>
                <w:szCs w:val="24"/>
                <w:lang w:eastAsia="pt-BR"/>
              </w:rPr>
            </w:pPr>
          </w:p>
        </w:tc>
        <w:tc>
          <w:tcPr>
            <w:tcW w:w="3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DE2EA6" w:rsidRDefault="00B75C56" w:rsidP="00B75C56">
            <w:pPr>
              <w:spacing w:before="100" w:beforeAutospacing="1" w:after="0" w:line="240" w:lineRule="auto"/>
              <w:rPr>
                <w:rFonts w:ascii="Times New Roman" w:eastAsia="Times New Roman" w:hAnsi="Times New Roman" w:cs="Times New Roman"/>
                <w:sz w:val="24"/>
                <w:szCs w:val="24"/>
                <w:lang w:eastAsia="pt-BR"/>
              </w:rPr>
            </w:pPr>
            <w:r w:rsidRPr="00DE2EA6">
              <w:rPr>
                <w:rFonts w:ascii="Arial" w:eastAsia="Times New Roman" w:hAnsi="Arial" w:cs="Arial"/>
                <w:sz w:val="16"/>
                <w:szCs w:val="16"/>
                <w:lang w:eastAsia="pt-BR"/>
              </w:rPr>
              <w:t>7º I b - FI 100% Títulos TN</w:t>
            </w:r>
          </w:p>
        </w:tc>
        <w:tc>
          <w:tcPr>
            <w:tcW w:w="1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DE2EA6"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DE2EA6">
              <w:rPr>
                <w:rFonts w:ascii="Arial" w:eastAsia="Times New Roman" w:hAnsi="Arial" w:cs="Arial"/>
                <w:sz w:val="16"/>
                <w:szCs w:val="16"/>
                <w:lang w:eastAsia="pt-BR"/>
              </w:rPr>
              <w:t>100,00%</w:t>
            </w:r>
          </w:p>
        </w:tc>
        <w:tc>
          <w:tcPr>
            <w:tcW w:w="267" w:type="dxa"/>
            <w:tcBorders>
              <w:top w:val="nil"/>
              <w:left w:val="nil"/>
              <w:bottom w:val="nil"/>
              <w:right w:val="single" w:sz="8" w:space="0" w:color="auto"/>
            </w:tcBorders>
            <w:tcMar>
              <w:top w:w="0" w:type="dxa"/>
              <w:left w:w="108" w:type="dxa"/>
              <w:bottom w:w="0" w:type="dxa"/>
              <w:right w:w="108" w:type="dxa"/>
            </w:tcMar>
            <w:vAlign w:val="center"/>
            <w:hideMark/>
          </w:tcPr>
          <w:p w:rsidR="00B75C56" w:rsidRPr="00B75C56" w:rsidRDefault="00B75C56" w:rsidP="00B75C56">
            <w:pPr>
              <w:spacing w:before="100" w:beforeAutospacing="1" w:after="0" w:line="240" w:lineRule="auto"/>
              <w:jc w:val="center"/>
              <w:rPr>
                <w:rFonts w:ascii="Times New Roman" w:eastAsia="Times New Roman" w:hAnsi="Times New Roman" w:cs="Times New Roman"/>
                <w:color w:val="FF0000"/>
                <w:sz w:val="24"/>
                <w:szCs w:val="24"/>
                <w:lang w:eastAsia="pt-BR"/>
              </w:rPr>
            </w:pPr>
            <w:r w:rsidRPr="00B75C56">
              <w:rPr>
                <w:rFonts w:ascii="Arial" w:eastAsia="Times New Roman" w:hAnsi="Arial" w:cs="Arial"/>
                <w:color w:val="FF0000"/>
                <w:sz w:val="24"/>
                <w:szCs w:val="24"/>
                <w:lang w:eastAsia="pt-BR"/>
              </w:rPr>
              <w:t> </w:t>
            </w:r>
          </w:p>
        </w:tc>
        <w:tc>
          <w:tcPr>
            <w:tcW w:w="15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3B2292" w:rsidRDefault="00B75C56" w:rsidP="000841C9">
            <w:pPr>
              <w:spacing w:before="100" w:beforeAutospacing="1" w:after="0" w:line="240" w:lineRule="auto"/>
              <w:jc w:val="center"/>
              <w:rPr>
                <w:rFonts w:ascii="Times New Roman" w:eastAsia="Times New Roman" w:hAnsi="Times New Roman" w:cs="Times New Roman"/>
                <w:sz w:val="24"/>
                <w:szCs w:val="24"/>
                <w:lang w:eastAsia="pt-BR"/>
              </w:rPr>
            </w:pPr>
            <w:r w:rsidRPr="003B2292">
              <w:rPr>
                <w:rFonts w:ascii="Arial" w:eastAsia="Times New Roman" w:hAnsi="Arial" w:cs="Arial"/>
                <w:sz w:val="16"/>
                <w:szCs w:val="16"/>
                <w:lang w:eastAsia="pt-BR"/>
              </w:rPr>
              <w:t>8,23%</w:t>
            </w:r>
          </w:p>
        </w:tc>
        <w:tc>
          <w:tcPr>
            <w:tcW w:w="15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3B2292" w:rsidRDefault="00B75C56" w:rsidP="000841C9">
            <w:pPr>
              <w:spacing w:before="100" w:beforeAutospacing="1" w:after="0" w:line="240" w:lineRule="auto"/>
              <w:jc w:val="center"/>
              <w:rPr>
                <w:rFonts w:ascii="Times New Roman" w:eastAsia="Times New Roman" w:hAnsi="Times New Roman" w:cs="Times New Roman"/>
                <w:sz w:val="24"/>
                <w:szCs w:val="24"/>
                <w:lang w:eastAsia="pt-BR"/>
              </w:rPr>
            </w:pPr>
            <w:r w:rsidRPr="003B2292">
              <w:rPr>
                <w:rFonts w:ascii="Arial" w:eastAsia="Times New Roman" w:hAnsi="Arial" w:cs="Arial"/>
                <w:sz w:val="16"/>
                <w:szCs w:val="16"/>
                <w:lang w:eastAsia="pt-BR"/>
              </w:rPr>
              <w:t>51,43%</w:t>
            </w:r>
          </w:p>
        </w:tc>
      </w:tr>
      <w:tr w:rsidR="00B75C56" w:rsidRPr="00B75C56" w:rsidTr="000841C9">
        <w:trPr>
          <w:trHeight w:val="310"/>
        </w:trPr>
        <w:tc>
          <w:tcPr>
            <w:tcW w:w="0" w:type="auto"/>
            <w:vMerge/>
            <w:tcBorders>
              <w:top w:val="nil"/>
              <w:left w:val="single" w:sz="8" w:space="0" w:color="auto"/>
              <w:bottom w:val="single" w:sz="8" w:space="0" w:color="auto"/>
              <w:right w:val="single" w:sz="8" w:space="0" w:color="auto"/>
            </w:tcBorders>
            <w:vAlign w:val="center"/>
            <w:hideMark/>
          </w:tcPr>
          <w:p w:rsidR="00B75C56" w:rsidRPr="00DE2EA6" w:rsidRDefault="00B75C56" w:rsidP="00B75C56">
            <w:pPr>
              <w:spacing w:after="0" w:line="240" w:lineRule="auto"/>
              <w:rPr>
                <w:rFonts w:ascii="Times New Roman" w:eastAsia="Times New Roman" w:hAnsi="Times New Roman" w:cs="Times New Roman"/>
                <w:sz w:val="24"/>
                <w:szCs w:val="24"/>
                <w:lang w:eastAsia="pt-BR"/>
              </w:rPr>
            </w:pPr>
          </w:p>
        </w:tc>
        <w:tc>
          <w:tcPr>
            <w:tcW w:w="3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DE2EA6" w:rsidRDefault="00B75C56" w:rsidP="00B75C56">
            <w:pPr>
              <w:spacing w:before="100" w:beforeAutospacing="1" w:after="0" w:line="240" w:lineRule="auto"/>
              <w:rPr>
                <w:rFonts w:ascii="Times New Roman" w:eastAsia="Times New Roman" w:hAnsi="Times New Roman" w:cs="Times New Roman"/>
                <w:sz w:val="24"/>
                <w:szCs w:val="24"/>
                <w:lang w:eastAsia="pt-BR"/>
              </w:rPr>
            </w:pPr>
            <w:r w:rsidRPr="00DE2EA6">
              <w:rPr>
                <w:rFonts w:ascii="Arial" w:eastAsia="Times New Roman" w:hAnsi="Arial" w:cs="Arial"/>
                <w:sz w:val="16"/>
                <w:szCs w:val="16"/>
                <w:lang w:eastAsia="pt-BR"/>
              </w:rPr>
              <w:t xml:space="preserve">7º I c - FI </w:t>
            </w:r>
            <w:proofErr w:type="spellStart"/>
            <w:r w:rsidRPr="00DE2EA6">
              <w:rPr>
                <w:rFonts w:ascii="Arial" w:eastAsia="Times New Roman" w:hAnsi="Arial" w:cs="Arial"/>
                <w:sz w:val="16"/>
                <w:szCs w:val="16"/>
                <w:lang w:eastAsia="pt-BR"/>
              </w:rPr>
              <w:t>Ref</w:t>
            </w:r>
            <w:proofErr w:type="spellEnd"/>
            <w:r w:rsidRPr="00DE2EA6">
              <w:rPr>
                <w:rFonts w:ascii="Arial" w:eastAsia="Times New Roman" w:hAnsi="Arial" w:cs="Arial"/>
                <w:sz w:val="16"/>
                <w:szCs w:val="16"/>
                <w:lang w:eastAsia="pt-BR"/>
              </w:rPr>
              <w:t xml:space="preserve"> em Índice de RF, 100% TP</w:t>
            </w:r>
          </w:p>
        </w:tc>
        <w:tc>
          <w:tcPr>
            <w:tcW w:w="1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DE2EA6"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DE2EA6">
              <w:rPr>
                <w:rFonts w:ascii="Arial" w:eastAsia="Times New Roman" w:hAnsi="Arial" w:cs="Arial"/>
                <w:sz w:val="16"/>
                <w:szCs w:val="16"/>
                <w:lang w:eastAsia="pt-BR"/>
              </w:rPr>
              <w:t>100,00%</w:t>
            </w:r>
          </w:p>
        </w:tc>
        <w:tc>
          <w:tcPr>
            <w:tcW w:w="267" w:type="dxa"/>
            <w:tcBorders>
              <w:top w:val="nil"/>
              <w:left w:val="nil"/>
              <w:bottom w:val="nil"/>
              <w:right w:val="single" w:sz="8" w:space="0" w:color="auto"/>
            </w:tcBorders>
            <w:tcMar>
              <w:top w:w="0" w:type="dxa"/>
              <w:left w:w="108" w:type="dxa"/>
              <w:bottom w:w="0" w:type="dxa"/>
              <w:right w:w="108" w:type="dxa"/>
            </w:tcMar>
            <w:vAlign w:val="center"/>
            <w:hideMark/>
          </w:tcPr>
          <w:p w:rsidR="00B75C56" w:rsidRPr="00B75C56" w:rsidRDefault="00B75C56" w:rsidP="00B75C56">
            <w:pPr>
              <w:spacing w:before="100" w:beforeAutospacing="1" w:after="0" w:line="240" w:lineRule="auto"/>
              <w:jc w:val="center"/>
              <w:rPr>
                <w:rFonts w:ascii="Times New Roman" w:eastAsia="Times New Roman" w:hAnsi="Times New Roman" w:cs="Times New Roman"/>
                <w:color w:val="FF0000"/>
                <w:sz w:val="24"/>
                <w:szCs w:val="24"/>
                <w:lang w:eastAsia="pt-BR"/>
              </w:rPr>
            </w:pPr>
            <w:r w:rsidRPr="00B75C56">
              <w:rPr>
                <w:rFonts w:ascii="Arial" w:eastAsia="Times New Roman" w:hAnsi="Arial" w:cs="Arial"/>
                <w:color w:val="FF0000"/>
                <w:sz w:val="24"/>
                <w:szCs w:val="24"/>
                <w:lang w:eastAsia="pt-BR"/>
              </w:rPr>
              <w:t> </w:t>
            </w:r>
          </w:p>
        </w:tc>
        <w:tc>
          <w:tcPr>
            <w:tcW w:w="15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3B2292" w:rsidRDefault="00B75C56" w:rsidP="000841C9">
            <w:pPr>
              <w:spacing w:before="100" w:beforeAutospacing="1" w:after="0" w:line="240" w:lineRule="auto"/>
              <w:jc w:val="center"/>
              <w:rPr>
                <w:rFonts w:ascii="Times New Roman" w:eastAsia="Times New Roman" w:hAnsi="Times New Roman" w:cs="Times New Roman"/>
                <w:sz w:val="24"/>
                <w:szCs w:val="24"/>
                <w:lang w:eastAsia="pt-BR"/>
              </w:rPr>
            </w:pPr>
            <w:r w:rsidRPr="003B2292">
              <w:rPr>
                <w:rFonts w:ascii="Arial" w:eastAsia="Times New Roman" w:hAnsi="Arial" w:cs="Arial"/>
                <w:sz w:val="16"/>
                <w:szCs w:val="16"/>
                <w:lang w:eastAsia="pt-BR"/>
              </w:rPr>
              <w:t>0,00%</w:t>
            </w:r>
          </w:p>
        </w:tc>
        <w:tc>
          <w:tcPr>
            <w:tcW w:w="15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3B2292" w:rsidRDefault="00B75C56" w:rsidP="000841C9">
            <w:pPr>
              <w:spacing w:before="100" w:beforeAutospacing="1" w:after="0" w:line="240" w:lineRule="auto"/>
              <w:jc w:val="center"/>
              <w:rPr>
                <w:rFonts w:ascii="Times New Roman" w:eastAsia="Times New Roman" w:hAnsi="Times New Roman" w:cs="Times New Roman"/>
                <w:sz w:val="24"/>
                <w:szCs w:val="24"/>
                <w:lang w:eastAsia="pt-BR"/>
              </w:rPr>
            </w:pPr>
            <w:r w:rsidRPr="003B2292">
              <w:rPr>
                <w:rFonts w:ascii="Arial" w:eastAsia="Times New Roman" w:hAnsi="Arial" w:cs="Arial"/>
                <w:sz w:val="16"/>
                <w:szCs w:val="16"/>
                <w:lang w:eastAsia="pt-BR"/>
              </w:rPr>
              <w:t>0,00%</w:t>
            </w:r>
          </w:p>
        </w:tc>
      </w:tr>
      <w:tr w:rsidR="00B75C56" w:rsidRPr="00B75C56" w:rsidTr="000841C9">
        <w:trPr>
          <w:trHeight w:val="337"/>
        </w:trPr>
        <w:tc>
          <w:tcPr>
            <w:tcW w:w="0" w:type="auto"/>
            <w:vMerge/>
            <w:tcBorders>
              <w:top w:val="nil"/>
              <w:left w:val="single" w:sz="8" w:space="0" w:color="auto"/>
              <w:bottom w:val="single" w:sz="8" w:space="0" w:color="auto"/>
              <w:right w:val="single" w:sz="8" w:space="0" w:color="auto"/>
            </w:tcBorders>
            <w:vAlign w:val="center"/>
            <w:hideMark/>
          </w:tcPr>
          <w:p w:rsidR="00B75C56" w:rsidRPr="00DE2EA6" w:rsidRDefault="00B75C56" w:rsidP="00B75C56">
            <w:pPr>
              <w:spacing w:after="0" w:line="240" w:lineRule="auto"/>
              <w:rPr>
                <w:rFonts w:ascii="Times New Roman" w:eastAsia="Times New Roman" w:hAnsi="Times New Roman" w:cs="Times New Roman"/>
                <w:sz w:val="24"/>
                <w:szCs w:val="24"/>
                <w:lang w:eastAsia="pt-BR"/>
              </w:rPr>
            </w:pPr>
          </w:p>
        </w:tc>
        <w:tc>
          <w:tcPr>
            <w:tcW w:w="3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DE2EA6" w:rsidRDefault="00B75C56" w:rsidP="00B75C56">
            <w:pPr>
              <w:spacing w:before="100" w:beforeAutospacing="1" w:after="0" w:line="240" w:lineRule="auto"/>
              <w:rPr>
                <w:rFonts w:ascii="Times New Roman" w:eastAsia="Times New Roman" w:hAnsi="Times New Roman" w:cs="Times New Roman"/>
                <w:sz w:val="24"/>
                <w:szCs w:val="24"/>
                <w:lang w:eastAsia="pt-BR"/>
              </w:rPr>
            </w:pPr>
            <w:r w:rsidRPr="00DE2EA6">
              <w:rPr>
                <w:rFonts w:ascii="Arial" w:eastAsia="Times New Roman" w:hAnsi="Arial" w:cs="Arial"/>
                <w:sz w:val="16"/>
                <w:szCs w:val="16"/>
                <w:lang w:eastAsia="pt-BR"/>
              </w:rPr>
              <w:t xml:space="preserve">7º II - </w:t>
            </w:r>
            <w:proofErr w:type="spellStart"/>
            <w:r w:rsidRPr="00DE2EA6">
              <w:rPr>
                <w:rFonts w:ascii="Arial" w:eastAsia="Times New Roman" w:hAnsi="Arial" w:cs="Arial"/>
                <w:sz w:val="16"/>
                <w:szCs w:val="16"/>
                <w:lang w:eastAsia="pt-BR"/>
              </w:rPr>
              <w:t>Oper</w:t>
            </w:r>
            <w:proofErr w:type="spellEnd"/>
            <w:r w:rsidRPr="00DE2EA6">
              <w:rPr>
                <w:rFonts w:ascii="Arial" w:eastAsia="Times New Roman" w:hAnsi="Arial" w:cs="Arial"/>
                <w:sz w:val="16"/>
                <w:szCs w:val="16"/>
                <w:lang w:eastAsia="pt-BR"/>
              </w:rPr>
              <w:t xml:space="preserve">. </w:t>
            </w:r>
            <w:proofErr w:type="gramStart"/>
            <w:r w:rsidRPr="00DE2EA6">
              <w:rPr>
                <w:rFonts w:ascii="Arial" w:eastAsia="Times New Roman" w:hAnsi="Arial" w:cs="Arial"/>
                <w:sz w:val="16"/>
                <w:szCs w:val="16"/>
                <w:lang w:eastAsia="pt-BR"/>
              </w:rPr>
              <w:t>compromissadas</w:t>
            </w:r>
            <w:proofErr w:type="gramEnd"/>
            <w:r w:rsidRPr="00DE2EA6">
              <w:rPr>
                <w:rFonts w:ascii="Arial" w:eastAsia="Times New Roman" w:hAnsi="Arial" w:cs="Arial"/>
                <w:sz w:val="16"/>
                <w:szCs w:val="16"/>
                <w:lang w:eastAsia="pt-BR"/>
              </w:rPr>
              <w:t xml:space="preserve"> em títulos TN</w:t>
            </w:r>
          </w:p>
        </w:tc>
        <w:tc>
          <w:tcPr>
            <w:tcW w:w="1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DE2EA6"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DE2EA6">
              <w:rPr>
                <w:rFonts w:ascii="Arial" w:eastAsia="Times New Roman" w:hAnsi="Arial" w:cs="Arial"/>
                <w:sz w:val="16"/>
                <w:szCs w:val="16"/>
                <w:lang w:eastAsia="pt-BR"/>
              </w:rPr>
              <w:t>5,00%</w:t>
            </w:r>
          </w:p>
        </w:tc>
        <w:tc>
          <w:tcPr>
            <w:tcW w:w="267" w:type="dxa"/>
            <w:tcBorders>
              <w:top w:val="nil"/>
              <w:left w:val="nil"/>
              <w:bottom w:val="nil"/>
              <w:right w:val="single" w:sz="8" w:space="0" w:color="auto"/>
            </w:tcBorders>
            <w:tcMar>
              <w:top w:w="0" w:type="dxa"/>
              <w:left w:w="108" w:type="dxa"/>
              <w:bottom w:w="0" w:type="dxa"/>
              <w:right w:w="108" w:type="dxa"/>
            </w:tcMar>
            <w:vAlign w:val="center"/>
            <w:hideMark/>
          </w:tcPr>
          <w:p w:rsidR="00B75C56" w:rsidRPr="00B75C56" w:rsidRDefault="00B75C56" w:rsidP="00B75C56">
            <w:pPr>
              <w:spacing w:before="100" w:beforeAutospacing="1" w:after="0" w:line="240" w:lineRule="auto"/>
              <w:jc w:val="center"/>
              <w:rPr>
                <w:rFonts w:ascii="Times New Roman" w:eastAsia="Times New Roman" w:hAnsi="Times New Roman" w:cs="Times New Roman"/>
                <w:color w:val="FF0000"/>
                <w:sz w:val="24"/>
                <w:szCs w:val="24"/>
                <w:lang w:eastAsia="pt-BR"/>
              </w:rPr>
            </w:pPr>
            <w:r w:rsidRPr="00B75C56">
              <w:rPr>
                <w:rFonts w:ascii="Arial" w:eastAsia="Times New Roman" w:hAnsi="Arial" w:cs="Arial"/>
                <w:color w:val="FF0000"/>
                <w:sz w:val="24"/>
                <w:szCs w:val="24"/>
                <w:lang w:eastAsia="pt-BR"/>
              </w:rPr>
              <w:t> </w:t>
            </w:r>
          </w:p>
        </w:tc>
        <w:tc>
          <w:tcPr>
            <w:tcW w:w="15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3B2292" w:rsidRDefault="00B75C56" w:rsidP="000841C9">
            <w:pPr>
              <w:spacing w:before="100" w:beforeAutospacing="1" w:after="0" w:line="240" w:lineRule="auto"/>
              <w:jc w:val="center"/>
              <w:rPr>
                <w:rFonts w:ascii="Times New Roman" w:eastAsia="Times New Roman" w:hAnsi="Times New Roman" w:cs="Times New Roman"/>
                <w:sz w:val="24"/>
                <w:szCs w:val="24"/>
                <w:lang w:eastAsia="pt-BR"/>
              </w:rPr>
            </w:pPr>
            <w:r w:rsidRPr="003B2292">
              <w:rPr>
                <w:rFonts w:ascii="Arial" w:eastAsia="Times New Roman" w:hAnsi="Arial" w:cs="Arial"/>
                <w:sz w:val="16"/>
                <w:szCs w:val="16"/>
                <w:lang w:eastAsia="pt-BR"/>
              </w:rPr>
              <w:t>0,00%</w:t>
            </w:r>
          </w:p>
        </w:tc>
        <w:tc>
          <w:tcPr>
            <w:tcW w:w="15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3B2292" w:rsidRDefault="00B75C56" w:rsidP="000841C9">
            <w:pPr>
              <w:spacing w:before="100" w:beforeAutospacing="1" w:after="0" w:line="240" w:lineRule="auto"/>
              <w:jc w:val="center"/>
              <w:rPr>
                <w:rFonts w:ascii="Times New Roman" w:eastAsia="Times New Roman" w:hAnsi="Times New Roman" w:cs="Times New Roman"/>
                <w:sz w:val="24"/>
                <w:szCs w:val="24"/>
                <w:lang w:eastAsia="pt-BR"/>
              </w:rPr>
            </w:pPr>
            <w:r w:rsidRPr="003B2292">
              <w:rPr>
                <w:rFonts w:ascii="Arial" w:eastAsia="Times New Roman" w:hAnsi="Arial" w:cs="Arial"/>
                <w:sz w:val="16"/>
                <w:szCs w:val="16"/>
                <w:lang w:eastAsia="pt-BR"/>
              </w:rPr>
              <w:t>0,00%</w:t>
            </w:r>
          </w:p>
        </w:tc>
      </w:tr>
      <w:tr w:rsidR="00B75C56" w:rsidRPr="00B75C56" w:rsidTr="000841C9">
        <w:trPr>
          <w:trHeight w:val="310"/>
        </w:trPr>
        <w:tc>
          <w:tcPr>
            <w:tcW w:w="0" w:type="auto"/>
            <w:vMerge/>
            <w:tcBorders>
              <w:top w:val="nil"/>
              <w:left w:val="single" w:sz="8" w:space="0" w:color="auto"/>
              <w:bottom w:val="single" w:sz="8" w:space="0" w:color="auto"/>
              <w:right w:val="single" w:sz="8" w:space="0" w:color="auto"/>
            </w:tcBorders>
            <w:vAlign w:val="center"/>
            <w:hideMark/>
          </w:tcPr>
          <w:p w:rsidR="00B75C56" w:rsidRPr="00DE2EA6" w:rsidRDefault="00B75C56" w:rsidP="00B75C56">
            <w:pPr>
              <w:spacing w:after="0" w:line="240" w:lineRule="auto"/>
              <w:rPr>
                <w:rFonts w:ascii="Times New Roman" w:eastAsia="Times New Roman" w:hAnsi="Times New Roman" w:cs="Times New Roman"/>
                <w:sz w:val="24"/>
                <w:szCs w:val="24"/>
                <w:lang w:eastAsia="pt-BR"/>
              </w:rPr>
            </w:pPr>
          </w:p>
        </w:tc>
        <w:tc>
          <w:tcPr>
            <w:tcW w:w="3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DE2EA6" w:rsidRDefault="00B75C56" w:rsidP="00B75C56">
            <w:pPr>
              <w:spacing w:before="100" w:beforeAutospacing="1" w:after="0" w:line="240" w:lineRule="auto"/>
              <w:rPr>
                <w:rFonts w:ascii="Times New Roman" w:eastAsia="Times New Roman" w:hAnsi="Times New Roman" w:cs="Times New Roman"/>
                <w:sz w:val="24"/>
                <w:szCs w:val="24"/>
                <w:lang w:eastAsia="pt-BR"/>
              </w:rPr>
            </w:pPr>
            <w:r w:rsidRPr="00DE2EA6">
              <w:rPr>
                <w:rFonts w:ascii="Arial" w:eastAsia="Times New Roman" w:hAnsi="Arial" w:cs="Arial"/>
                <w:sz w:val="16"/>
                <w:szCs w:val="16"/>
                <w:lang w:eastAsia="pt-BR"/>
              </w:rPr>
              <w:t>7º III a - FI Referenciados RF</w:t>
            </w:r>
          </w:p>
        </w:tc>
        <w:tc>
          <w:tcPr>
            <w:tcW w:w="1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DE2EA6"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DE2EA6">
              <w:rPr>
                <w:rFonts w:ascii="Arial" w:eastAsia="Times New Roman" w:hAnsi="Arial" w:cs="Arial"/>
                <w:sz w:val="16"/>
                <w:szCs w:val="16"/>
                <w:lang w:eastAsia="pt-BR"/>
              </w:rPr>
              <w:t>60,00%</w:t>
            </w:r>
          </w:p>
        </w:tc>
        <w:tc>
          <w:tcPr>
            <w:tcW w:w="267" w:type="dxa"/>
            <w:tcBorders>
              <w:top w:val="nil"/>
              <w:left w:val="nil"/>
              <w:bottom w:val="nil"/>
              <w:right w:val="single" w:sz="8" w:space="0" w:color="auto"/>
            </w:tcBorders>
            <w:tcMar>
              <w:top w:w="0" w:type="dxa"/>
              <w:left w:w="108" w:type="dxa"/>
              <w:bottom w:w="0" w:type="dxa"/>
              <w:right w:w="108" w:type="dxa"/>
            </w:tcMar>
            <w:vAlign w:val="center"/>
            <w:hideMark/>
          </w:tcPr>
          <w:p w:rsidR="00B75C56" w:rsidRPr="00B75C56" w:rsidRDefault="00B75C56" w:rsidP="00B75C56">
            <w:pPr>
              <w:spacing w:before="100" w:beforeAutospacing="1" w:after="0" w:line="240" w:lineRule="auto"/>
              <w:jc w:val="center"/>
              <w:rPr>
                <w:rFonts w:ascii="Times New Roman" w:eastAsia="Times New Roman" w:hAnsi="Times New Roman" w:cs="Times New Roman"/>
                <w:color w:val="FF0000"/>
                <w:sz w:val="24"/>
                <w:szCs w:val="24"/>
                <w:lang w:eastAsia="pt-BR"/>
              </w:rPr>
            </w:pPr>
            <w:r w:rsidRPr="00B75C56">
              <w:rPr>
                <w:rFonts w:ascii="Arial" w:eastAsia="Times New Roman" w:hAnsi="Arial" w:cs="Arial"/>
                <w:color w:val="FF0000"/>
                <w:sz w:val="24"/>
                <w:szCs w:val="24"/>
                <w:lang w:eastAsia="pt-BR"/>
              </w:rPr>
              <w:t> </w:t>
            </w:r>
          </w:p>
        </w:tc>
        <w:tc>
          <w:tcPr>
            <w:tcW w:w="15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3B2292" w:rsidRDefault="00B75C56" w:rsidP="000841C9">
            <w:pPr>
              <w:spacing w:before="100" w:beforeAutospacing="1" w:after="0" w:line="240" w:lineRule="auto"/>
              <w:jc w:val="center"/>
              <w:rPr>
                <w:rFonts w:ascii="Times New Roman" w:eastAsia="Times New Roman" w:hAnsi="Times New Roman" w:cs="Times New Roman"/>
                <w:sz w:val="24"/>
                <w:szCs w:val="24"/>
                <w:lang w:eastAsia="pt-BR"/>
              </w:rPr>
            </w:pPr>
            <w:r w:rsidRPr="003B2292">
              <w:rPr>
                <w:rFonts w:ascii="Arial" w:eastAsia="Times New Roman" w:hAnsi="Arial" w:cs="Arial"/>
                <w:sz w:val="16"/>
                <w:szCs w:val="16"/>
                <w:lang w:eastAsia="pt-BR"/>
              </w:rPr>
              <w:t>0,00%</w:t>
            </w:r>
          </w:p>
        </w:tc>
        <w:tc>
          <w:tcPr>
            <w:tcW w:w="15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3B2292" w:rsidRDefault="00B75C56" w:rsidP="000841C9">
            <w:pPr>
              <w:spacing w:before="100" w:beforeAutospacing="1" w:after="0" w:line="240" w:lineRule="auto"/>
              <w:jc w:val="center"/>
              <w:rPr>
                <w:rFonts w:ascii="Times New Roman" w:eastAsia="Times New Roman" w:hAnsi="Times New Roman" w:cs="Times New Roman"/>
                <w:sz w:val="24"/>
                <w:szCs w:val="24"/>
                <w:lang w:eastAsia="pt-BR"/>
              </w:rPr>
            </w:pPr>
            <w:r w:rsidRPr="003B2292">
              <w:rPr>
                <w:rFonts w:ascii="Arial" w:eastAsia="Times New Roman" w:hAnsi="Arial" w:cs="Arial"/>
                <w:sz w:val="16"/>
                <w:szCs w:val="16"/>
                <w:lang w:eastAsia="pt-BR"/>
              </w:rPr>
              <w:t>15,00%</w:t>
            </w:r>
          </w:p>
        </w:tc>
      </w:tr>
      <w:tr w:rsidR="00B75C56" w:rsidRPr="00B75C56" w:rsidTr="000841C9">
        <w:trPr>
          <w:trHeight w:val="337"/>
        </w:trPr>
        <w:tc>
          <w:tcPr>
            <w:tcW w:w="0" w:type="auto"/>
            <w:vMerge/>
            <w:tcBorders>
              <w:top w:val="nil"/>
              <w:left w:val="single" w:sz="8" w:space="0" w:color="auto"/>
              <w:bottom w:val="single" w:sz="8" w:space="0" w:color="auto"/>
              <w:right w:val="single" w:sz="8" w:space="0" w:color="auto"/>
            </w:tcBorders>
            <w:vAlign w:val="center"/>
            <w:hideMark/>
          </w:tcPr>
          <w:p w:rsidR="00B75C56" w:rsidRPr="00DE2EA6" w:rsidRDefault="00B75C56" w:rsidP="00B75C56">
            <w:pPr>
              <w:spacing w:after="0" w:line="240" w:lineRule="auto"/>
              <w:rPr>
                <w:rFonts w:ascii="Times New Roman" w:eastAsia="Times New Roman" w:hAnsi="Times New Roman" w:cs="Times New Roman"/>
                <w:sz w:val="24"/>
                <w:szCs w:val="24"/>
                <w:lang w:eastAsia="pt-BR"/>
              </w:rPr>
            </w:pPr>
          </w:p>
        </w:tc>
        <w:tc>
          <w:tcPr>
            <w:tcW w:w="3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DE2EA6" w:rsidRDefault="00B75C56" w:rsidP="00B75C56">
            <w:pPr>
              <w:spacing w:before="100" w:beforeAutospacing="1" w:after="0" w:line="240" w:lineRule="auto"/>
              <w:rPr>
                <w:rFonts w:ascii="Times New Roman" w:eastAsia="Times New Roman" w:hAnsi="Times New Roman" w:cs="Times New Roman"/>
                <w:sz w:val="24"/>
                <w:szCs w:val="24"/>
                <w:lang w:eastAsia="pt-BR"/>
              </w:rPr>
            </w:pPr>
            <w:r w:rsidRPr="00DE2EA6">
              <w:rPr>
                <w:rFonts w:ascii="Arial" w:eastAsia="Times New Roman" w:hAnsi="Arial" w:cs="Arial"/>
                <w:sz w:val="16"/>
                <w:szCs w:val="16"/>
                <w:lang w:eastAsia="pt-BR"/>
              </w:rPr>
              <w:t>7º III b - FI de Índices Referenciado RF</w:t>
            </w:r>
          </w:p>
        </w:tc>
        <w:tc>
          <w:tcPr>
            <w:tcW w:w="1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DE2EA6"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DE2EA6">
              <w:rPr>
                <w:rFonts w:ascii="Arial" w:eastAsia="Times New Roman" w:hAnsi="Arial" w:cs="Arial"/>
                <w:sz w:val="16"/>
                <w:szCs w:val="16"/>
                <w:lang w:eastAsia="pt-BR"/>
              </w:rPr>
              <w:t>60,00%</w:t>
            </w:r>
          </w:p>
        </w:tc>
        <w:tc>
          <w:tcPr>
            <w:tcW w:w="267" w:type="dxa"/>
            <w:tcBorders>
              <w:top w:val="nil"/>
              <w:left w:val="nil"/>
              <w:bottom w:val="nil"/>
              <w:right w:val="single" w:sz="8" w:space="0" w:color="auto"/>
            </w:tcBorders>
            <w:tcMar>
              <w:top w:w="0" w:type="dxa"/>
              <w:left w:w="108" w:type="dxa"/>
              <w:bottom w:w="0" w:type="dxa"/>
              <w:right w:w="108" w:type="dxa"/>
            </w:tcMar>
            <w:vAlign w:val="center"/>
            <w:hideMark/>
          </w:tcPr>
          <w:p w:rsidR="00B75C56" w:rsidRPr="00B75C56" w:rsidRDefault="00B75C56" w:rsidP="00B75C56">
            <w:pPr>
              <w:spacing w:before="100" w:beforeAutospacing="1" w:after="0" w:line="240" w:lineRule="auto"/>
              <w:jc w:val="center"/>
              <w:rPr>
                <w:rFonts w:ascii="Times New Roman" w:eastAsia="Times New Roman" w:hAnsi="Times New Roman" w:cs="Times New Roman"/>
                <w:color w:val="FF0000"/>
                <w:sz w:val="24"/>
                <w:szCs w:val="24"/>
                <w:lang w:eastAsia="pt-BR"/>
              </w:rPr>
            </w:pPr>
            <w:r w:rsidRPr="00B75C56">
              <w:rPr>
                <w:rFonts w:ascii="Arial" w:eastAsia="Times New Roman" w:hAnsi="Arial" w:cs="Arial"/>
                <w:color w:val="FF0000"/>
                <w:sz w:val="24"/>
                <w:szCs w:val="24"/>
                <w:lang w:eastAsia="pt-BR"/>
              </w:rPr>
              <w:t> </w:t>
            </w:r>
          </w:p>
        </w:tc>
        <w:tc>
          <w:tcPr>
            <w:tcW w:w="15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3B2292" w:rsidRDefault="003B2292" w:rsidP="000841C9">
            <w:pPr>
              <w:spacing w:before="100" w:beforeAutospacing="1" w:after="0" w:line="240" w:lineRule="auto"/>
              <w:jc w:val="center"/>
              <w:rPr>
                <w:rFonts w:ascii="Times New Roman" w:eastAsia="Times New Roman" w:hAnsi="Times New Roman" w:cs="Times New Roman"/>
                <w:sz w:val="24"/>
                <w:szCs w:val="24"/>
                <w:lang w:eastAsia="pt-BR"/>
              </w:rPr>
            </w:pPr>
            <w:r>
              <w:rPr>
                <w:rFonts w:ascii="Arial" w:eastAsia="Times New Roman" w:hAnsi="Arial" w:cs="Arial"/>
                <w:sz w:val="16"/>
                <w:szCs w:val="16"/>
                <w:lang w:eastAsia="pt-BR"/>
              </w:rPr>
              <w:t xml:space="preserve"> </w:t>
            </w:r>
            <w:r w:rsidR="00B75C56" w:rsidRPr="003B2292">
              <w:rPr>
                <w:rFonts w:ascii="Arial" w:eastAsia="Times New Roman" w:hAnsi="Arial" w:cs="Arial"/>
                <w:sz w:val="16"/>
                <w:szCs w:val="16"/>
                <w:lang w:eastAsia="pt-BR"/>
              </w:rPr>
              <w:t>0,00%</w:t>
            </w:r>
          </w:p>
        </w:tc>
        <w:tc>
          <w:tcPr>
            <w:tcW w:w="15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3B2292" w:rsidRDefault="00B75C56" w:rsidP="000841C9">
            <w:pPr>
              <w:spacing w:before="100" w:beforeAutospacing="1" w:after="0" w:line="240" w:lineRule="auto"/>
              <w:jc w:val="center"/>
              <w:rPr>
                <w:rFonts w:ascii="Times New Roman" w:eastAsia="Times New Roman" w:hAnsi="Times New Roman" w:cs="Times New Roman"/>
                <w:sz w:val="24"/>
                <w:szCs w:val="24"/>
                <w:lang w:eastAsia="pt-BR"/>
              </w:rPr>
            </w:pPr>
            <w:r w:rsidRPr="003B2292">
              <w:rPr>
                <w:rFonts w:ascii="Arial" w:eastAsia="Times New Roman" w:hAnsi="Arial" w:cs="Arial"/>
                <w:sz w:val="16"/>
                <w:szCs w:val="16"/>
                <w:lang w:eastAsia="pt-BR"/>
              </w:rPr>
              <w:t>0,00%</w:t>
            </w:r>
          </w:p>
        </w:tc>
      </w:tr>
      <w:tr w:rsidR="00B75C56" w:rsidRPr="00B75C56" w:rsidTr="000841C9">
        <w:trPr>
          <w:trHeight w:val="310"/>
        </w:trPr>
        <w:tc>
          <w:tcPr>
            <w:tcW w:w="0" w:type="auto"/>
            <w:vMerge/>
            <w:tcBorders>
              <w:top w:val="nil"/>
              <w:left w:val="single" w:sz="8" w:space="0" w:color="auto"/>
              <w:bottom w:val="single" w:sz="8" w:space="0" w:color="auto"/>
              <w:right w:val="single" w:sz="8" w:space="0" w:color="auto"/>
            </w:tcBorders>
            <w:vAlign w:val="center"/>
            <w:hideMark/>
          </w:tcPr>
          <w:p w:rsidR="00B75C56" w:rsidRPr="00DE2EA6" w:rsidRDefault="00B75C56" w:rsidP="00B75C56">
            <w:pPr>
              <w:spacing w:after="0" w:line="240" w:lineRule="auto"/>
              <w:rPr>
                <w:rFonts w:ascii="Times New Roman" w:eastAsia="Times New Roman" w:hAnsi="Times New Roman" w:cs="Times New Roman"/>
                <w:sz w:val="24"/>
                <w:szCs w:val="24"/>
                <w:lang w:eastAsia="pt-BR"/>
              </w:rPr>
            </w:pPr>
          </w:p>
        </w:tc>
        <w:tc>
          <w:tcPr>
            <w:tcW w:w="3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DE2EA6" w:rsidRDefault="00B75C56" w:rsidP="00B75C56">
            <w:pPr>
              <w:spacing w:before="100" w:beforeAutospacing="1" w:after="0" w:line="240" w:lineRule="auto"/>
              <w:rPr>
                <w:rFonts w:ascii="Times New Roman" w:eastAsia="Times New Roman" w:hAnsi="Times New Roman" w:cs="Times New Roman"/>
                <w:sz w:val="24"/>
                <w:szCs w:val="24"/>
                <w:lang w:eastAsia="pt-BR"/>
              </w:rPr>
            </w:pPr>
            <w:r w:rsidRPr="00DE2EA6">
              <w:rPr>
                <w:rFonts w:ascii="Arial" w:eastAsia="Times New Roman" w:hAnsi="Arial" w:cs="Arial"/>
                <w:sz w:val="16"/>
                <w:szCs w:val="16"/>
                <w:lang w:eastAsia="pt-BR"/>
              </w:rPr>
              <w:t>7º IV a - FI de Renda Fixa</w:t>
            </w:r>
          </w:p>
        </w:tc>
        <w:tc>
          <w:tcPr>
            <w:tcW w:w="1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DE2EA6"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DE2EA6">
              <w:rPr>
                <w:rFonts w:ascii="Arial" w:eastAsia="Times New Roman" w:hAnsi="Arial" w:cs="Arial"/>
                <w:sz w:val="16"/>
                <w:szCs w:val="16"/>
                <w:lang w:eastAsia="pt-BR"/>
              </w:rPr>
              <w:t>40,00%</w:t>
            </w:r>
          </w:p>
        </w:tc>
        <w:tc>
          <w:tcPr>
            <w:tcW w:w="267" w:type="dxa"/>
            <w:tcBorders>
              <w:top w:val="nil"/>
              <w:left w:val="nil"/>
              <w:bottom w:val="nil"/>
              <w:right w:val="single" w:sz="8" w:space="0" w:color="auto"/>
            </w:tcBorders>
            <w:tcMar>
              <w:top w:w="0" w:type="dxa"/>
              <w:left w:w="108" w:type="dxa"/>
              <w:bottom w:w="0" w:type="dxa"/>
              <w:right w:w="108" w:type="dxa"/>
            </w:tcMar>
            <w:vAlign w:val="center"/>
            <w:hideMark/>
          </w:tcPr>
          <w:p w:rsidR="00B75C56" w:rsidRPr="00B75C56" w:rsidRDefault="00B75C56" w:rsidP="00B75C56">
            <w:pPr>
              <w:spacing w:before="100" w:beforeAutospacing="1" w:after="0" w:line="240" w:lineRule="auto"/>
              <w:jc w:val="center"/>
              <w:rPr>
                <w:rFonts w:ascii="Times New Roman" w:eastAsia="Times New Roman" w:hAnsi="Times New Roman" w:cs="Times New Roman"/>
                <w:color w:val="FF0000"/>
                <w:sz w:val="24"/>
                <w:szCs w:val="24"/>
                <w:lang w:eastAsia="pt-BR"/>
              </w:rPr>
            </w:pPr>
            <w:r w:rsidRPr="00B75C56">
              <w:rPr>
                <w:rFonts w:ascii="Arial" w:eastAsia="Times New Roman" w:hAnsi="Arial" w:cs="Arial"/>
                <w:color w:val="FF0000"/>
                <w:sz w:val="24"/>
                <w:szCs w:val="24"/>
                <w:lang w:eastAsia="pt-BR"/>
              </w:rPr>
              <w:t> </w:t>
            </w:r>
          </w:p>
        </w:tc>
        <w:tc>
          <w:tcPr>
            <w:tcW w:w="15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3B2292" w:rsidRDefault="00B75C56" w:rsidP="000841C9">
            <w:pPr>
              <w:spacing w:before="100" w:beforeAutospacing="1" w:after="0" w:line="240" w:lineRule="auto"/>
              <w:jc w:val="center"/>
              <w:rPr>
                <w:rFonts w:ascii="Times New Roman" w:eastAsia="Times New Roman" w:hAnsi="Times New Roman" w:cs="Times New Roman"/>
                <w:sz w:val="24"/>
                <w:szCs w:val="24"/>
                <w:lang w:eastAsia="pt-BR"/>
              </w:rPr>
            </w:pPr>
            <w:r w:rsidRPr="003B2292">
              <w:rPr>
                <w:rFonts w:ascii="Arial" w:eastAsia="Times New Roman" w:hAnsi="Arial" w:cs="Arial"/>
                <w:sz w:val="16"/>
                <w:szCs w:val="16"/>
                <w:lang w:eastAsia="pt-BR"/>
              </w:rPr>
              <w:t>4,06%</w:t>
            </w:r>
          </w:p>
        </w:tc>
        <w:tc>
          <w:tcPr>
            <w:tcW w:w="15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3B2292" w:rsidRDefault="00B75C56" w:rsidP="000841C9">
            <w:pPr>
              <w:spacing w:before="100" w:beforeAutospacing="1" w:after="0" w:line="240" w:lineRule="auto"/>
              <w:jc w:val="center"/>
              <w:rPr>
                <w:rFonts w:ascii="Times New Roman" w:eastAsia="Times New Roman" w:hAnsi="Times New Roman" w:cs="Times New Roman"/>
                <w:sz w:val="24"/>
                <w:szCs w:val="24"/>
                <w:lang w:eastAsia="pt-BR"/>
              </w:rPr>
            </w:pPr>
            <w:r w:rsidRPr="003B2292">
              <w:rPr>
                <w:rFonts w:ascii="Arial" w:eastAsia="Times New Roman" w:hAnsi="Arial" w:cs="Arial"/>
                <w:sz w:val="16"/>
                <w:szCs w:val="16"/>
                <w:lang w:eastAsia="pt-BR"/>
              </w:rPr>
              <w:t>40,00%</w:t>
            </w:r>
          </w:p>
        </w:tc>
      </w:tr>
      <w:tr w:rsidR="00B75C56" w:rsidRPr="00B75C56" w:rsidTr="000841C9">
        <w:trPr>
          <w:trHeight w:val="337"/>
        </w:trPr>
        <w:tc>
          <w:tcPr>
            <w:tcW w:w="0" w:type="auto"/>
            <w:vMerge/>
            <w:tcBorders>
              <w:top w:val="nil"/>
              <w:left w:val="single" w:sz="8" w:space="0" w:color="auto"/>
              <w:bottom w:val="single" w:sz="8" w:space="0" w:color="auto"/>
              <w:right w:val="single" w:sz="8" w:space="0" w:color="auto"/>
            </w:tcBorders>
            <w:vAlign w:val="center"/>
            <w:hideMark/>
          </w:tcPr>
          <w:p w:rsidR="00B75C56" w:rsidRPr="00DE2EA6" w:rsidRDefault="00B75C56" w:rsidP="00B75C56">
            <w:pPr>
              <w:spacing w:after="0" w:line="240" w:lineRule="auto"/>
              <w:rPr>
                <w:rFonts w:ascii="Times New Roman" w:eastAsia="Times New Roman" w:hAnsi="Times New Roman" w:cs="Times New Roman"/>
                <w:sz w:val="24"/>
                <w:szCs w:val="24"/>
                <w:lang w:eastAsia="pt-BR"/>
              </w:rPr>
            </w:pPr>
          </w:p>
        </w:tc>
        <w:tc>
          <w:tcPr>
            <w:tcW w:w="3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DE2EA6" w:rsidRDefault="00B75C56" w:rsidP="00B75C56">
            <w:pPr>
              <w:spacing w:before="100" w:beforeAutospacing="1" w:after="0" w:line="240" w:lineRule="auto"/>
              <w:rPr>
                <w:rFonts w:ascii="Times New Roman" w:eastAsia="Times New Roman" w:hAnsi="Times New Roman" w:cs="Times New Roman"/>
                <w:sz w:val="24"/>
                <w:szCs w:val="24"/>
                <w:lang w:eastAsia="pt-BR"/>
              </w:rPr>
            </w:pPr>
            <w:r w:rsidRPr="00DE2EA6">
              <w:rPr>
                <w:rFonts w:ascii="Arial" w:eastAsia="Times New Roman" w:hAnsi="Arial" w:cs="Arial"/>
                <w:sz w:val="16"/>
                <w:szCs w:val="16"/>
                <w:lang w:eastAsia="pt-BR"/>
              </w:rPr>
              <w:t xml:space="preserve">7º IV b - FI de </w:t>
            </w:r>
            <w:proofErr w:type="gramStart"/>
            <w:r w:rsidRPr="00DE2EA6">
              <w:rPr>
                <w:rFonts w:ascii="Arial" w:eastAsia="Times New Roman" w:hAnsi="Arial" w:cs="Arial"/>
                <w:sz w:val="16"/>
                <w:szCs w:val="16"/>
                <w:lang w:eastAsia="pt-BR"/>
              </w:rPr>
              <w:t>Índices Renda</w:t>
            </w:r>
            <w:proofErr w:type="gramEnd"/>
            <w:r w:rsidRPr="00DE2EA6">
              <w:rPr>
                <w:rFonts w:ascii="Arial" w:eastAsia="Times New Roman" w:hAnsi="Arial" w:cs="Arial"/>
                <w:sz w:val="16"/>
                <w:szCs w:val="16"/>
                <w:lang w:eastAsia="pt-BR"/>
              </w:rPr>
              <w:t xml:space="preserve"> Fixa</w:t>
            </w:r>
          </w:p>
        </w:tc>
        <w:tc>
          <w:tcPr>
            <w:tcW w:w="1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DE2EA6"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DE2EA6">
              <w:rPr>
                <w:rFonts w:ascii="Arial" w:eastAsia="Times New Roman" w:hAnsi="Arial" w:cs="Arial"/>
                <w:sz w:val="16"/>
                <w:szCs w:val="16"/>
                <w:lang w:eastAsia="pt-BR"/>
              </w:rPr>
              <w:t>40,00%</w:t>
            </w:r>
          </w:p>
        </w:tc>
        <w:tc>
          <w:tcPr>
            <w:tcW w:w="267" w:type="dxa"/>
            <w:tcBorders>
              <w:top w:val="nil"/>
              <w:left w:val="nil"/>
              <w:bottom w:val="nil"/>
              <w:right w:val="single" w:sz="8" w:space="0" w:color="auto"/>
            </w:tcBorders>
            <w:tcMar>
              <w:top w:w="0" w:type="dxa"/>
              <w:left w:w="108" w:type="dxa"/>
              <w:bottom w:w="0" w:type="dxa"/>
              <w:right w:w="108" w:type="dxa"/>
            </w:tcMar>
            <w:vAlign w:val="center"/>
            <w:hideMark/>
          </w:tcPr>
          <w:p w:rsidR="00B75C56" w:rsidRPr="00B75C56" w:rsidRDefault="00B75C56" w:rsidP="00B75C56">
            <w:pPr>
              <w:spacing w:before="100" w:beforeAutospacing="1" w:after="0" w:line="240" w:lineRule="auto"/>
              <w:jc w:val="center"/>
              <w:rPr>
                <w:rFonts w:ascii="Times New Roman" w:eastAsia="Times New Roman" w:hAnsi="Times New Roman" w:cs="Times New Roman"/>
                <w:color w:val="FF0000"/>
                <w:sz w:val="24"/>
                <w:szCs w:val="24"/>
                <w:lang w:eastAsia="pt-BR"/>
              </w:rPr>
            </w:pPr>
            <w:r w:rsidRPr="00B75C56">
              <w:rPr>
                <w:rFonts w:ascii="Arial" w:eastAsia="Times New Roman" w:hAnsi="Arial" w:cs="Arial"/>
                <w:color w:val="FF0000"/>
                <w:sz w:val="24"/>
                <w:szCs w:val="24"/>
                <w:lang w:eastAsia="pt-BR"/>
              </w:rPr>
              <w:t> </w:t>
            </w:r>
          </w:p>
        </w:tc>
        <w:tc>
          <w:tcPr>
            <w:tcW w:w="15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3B2292" w:rsidRDefault="00B75C56" w:rsidP="000841C9">
            <w:pPr>
              <w:spacing w:before="100" w:beforeAutospacing="1" w:after="0" w:line="240" w:lineRule="auto"/>
              <w:jc w:val="center"/>
              <w:rPr>
                <w:rFonts w:ascii="Times New Roman" w:eastAsia="Times New Roman" w:hAnsi="Times New Roman" w:cs="Times New Roman"/>
                <w:sz w:val="24"/>
                <w:szCs w:val="24"/>
                <w:lang w:eastAsia="pt-BR"/>
              </w:rPr>
            </w:pPr>
            <w:r w:rsidRPr="003B2292">
              <w:rPr>
                <w:rFonts w:ascii="Arial" w:eastAsia="Times New Roman" w:hAnsi="Arial" w:cs="Arial"/>
                <w:sz w:val="16"/>
                <w:szCs w:val="16"/>
                <w:lang w:eastAsia="pt-BR"/>
              </w:rPr>
              <w:t>0,00%</w:t>
            </w:r>
          </w:p>
        </w:tc>
        <w:tc>
          <w:tcPr>
            <w:tcW w:w="15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3B2292" w:rsidRDefault="00B75C56" w:rsidP="000841C9">
            <w:pPr>
              <w:spacing w:before="100" w:beforeAutospacing="1" w:after="0" w:line="240" w:lineRule="auto"/>
              <w:jc w:val="center"/>
              <w:rPr>
                <w:rFonts w:ascii="Times New Roman" w:eastAsia="Times New Roman" w:hAnsi="Times New Roman" w:cs="Times New Roman"/>
                <w:sz w:val="24"/>
                <w:szCs w:val="24"/>
                <w:lang w:eastAsia="pt-BR"/>
              </w:rPr>
            </w:pPr>
            <w:r w:rsidRPr="003B2292">
              <w:rPr>
                <w:rFonts w:ascii="Arial" w:eastAsia="Times New Roman" w:hAnsi="Arial" w:cs="Arial"/>
                <w:sz w:val="16"/>
                <w:szCs w:val="16"/>
                <w:lang w:eastAsia="pt-BR"/>
              </w:rPr>
              <w:t>0,00%</w:t>
            </w:r>
          </w:p>
        </w:tc>
      </w:tr>
      <w:tr w:rsidR="00B75C56" w:rsidRPr="00B75C56" w:rsidTr="000841C9">
        <w:trPr>
          <w:trHeight w:val="310"/>
        </w:trPr>
        <w:tc>
          <w:tcPr>
            <w:tcW w:w="0" w:type="auto"/>
            <w:vMerge/>
            <w:tcBorders>
              <w:top w:val="nil"/>
              <w:left w:val="single" w:sz="8" w:space="0" w:color="auto"/>
              <w:bottom w:val="single" w:sz="8" w:space="0" w:color="auto"/>
              <w:right w:val="single" w:sz="8" w:space="0" w:color="auto"/>
            </w:tcBorders>
            <w:vAlign w:val="center"/>
            <w:hideMark/>
          </w:tcPr>
          <w:p w:rsidR="00B75C56" w:rsidRPr="00DE2EA6" w:rsidRDefault="00B75C56" w:rsidP="00B75C56">
            <w:pPr>
              <w:spacing w:after="0" w:line="240" w:lineRule="auto"/>
              <w:rPr>
                <w:rFonts w:ascii="Times New Roman" w:eastAsia="Times New Roman" w:hAnsi="Times New Roman" w:cs="Times New Roman"/>
                <w:sz w:val="24"/>
                <w:szCs w:val="24"/>
                <w:lang w:eastAsia="pt-BR"/>
              </w:rPr>
            </w:pPr>
          </w:p>
        </w:tc>
        <w:tc>
          <w:tcPr>
            <w:tcW w:w="3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DE2EA6" w:rsidRDefault="00B75C56" w:rsidP="00B75C56">
            <w:pPr>
              <w:spacing w:before="100" w:beforeAutospacing="1" w:after="0" w:line="240" w:lineRule="auto"/>
              <w:rPr>
                <w:rFonts w:ascii="Times New Roman" w:eastAsia="Times New Roman" w:hAnsi="Times New Roman" w:cs="Times New Roman"/>
                <w:sz w:val="24"/>
                <w:szCs w:val="24"/>
                <w:lang w:eastAsia="pt-BR"/>
              </w:rPr>
            </w:pPr>
            <w:r w:rsidRPr="00DE2EA6">
              <w:rPr>
                <w:rFonts w:ascii="Arial" w:eastAsia="Times New Roman" w:hAnsi="Arial" w:cs="Arial"/>
                <w:sz w:val="16"/>
                <w:szCs w:val="16"/>
                <w:lang w:eastAsia="pt-BR"/>
              </w:rPr>
              <w:t>7º V b - Letras Imobiliárias Garantidas</w:t>
            </w:r>
          </w:p>
        </w:tc>
        <w:tc>
          <w:tcPr>
            <w:tcW w:w="1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DE2EA6"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DE2EA6">
              <w:rPr>
                <w:rFonts w:ascii="Arial" w:eastAsia="Times New Roman" w:hAnsi="Arial" w:cs="Arial"/>
                <w:sz w:val="16"/>
                <w:szCs w:val="16"/>
                <w:lang w:eastAsia="pt-BR"/>
              </w:rPr>
              <w:t>20,00%</w:t>
            </w:r>
          </w:p>
        </w:tc>
        <w:tc>
          <w:tcPr>
            <w:tcW w:w="267" w:type="dxa"/>
            <w:tcBorders>
              <w:top w:val="nil"/>
              <w:left w:val="nil"/>
              <w:bottom w:val="nil"/>
              <w:right w:val="single" w:sz="8" w:space="0" w:color="auto"/>
            </w:tcBorders>
            <w:tcMar>
              <w:top w:w="0" w:type="dxa"/>
              <w:left w:w="108" w:type="dxa"/>
              <w:bottom w:w="0" w:type="dxa"/>
              <w:right w:w="108" w:type="dxa"/>
            </w:tcMar>
            <w:vAlign w:val="center"/>
            <w:hideMark/>
          </w:tcPr>
          <w:p w:rsidR="00B75C56" w:rsidRPr="00B75C56" w:rsidRDefault="00B75C56" w:rsidP="00B75C56">
            <w:pPr>
              <w:spacing w:before="100" w:beforeAutospacing="1" w:after="0" w:line="240" w:lineRule="auto"/>
              <w:jc w:val="center"/>
              <w:rPr>
                <w:rFonts w:ascii="Times New Roman" w:eastAsia="Times New Roman" w:hAnsi="Times New Roman" w:cs="Times New Roman"/>
                <w:color w:val="FF0000"/>
                <w:sz w:val="24"/>
                <w:szCs w:val="24"/>
                <w:lang w:eastAsia="pt-BR"/>
              </w:rPr>
            </w:pPr>
            <w:r w:rsidRPr="00B75C56">
              <w:rPr>
                <w:rFonts w:ascii="Arial" w:eastAsia="Times New Roman" w:hAnsi="Arial" w:cs="Arial"/>
                <w:color w:val="FF0000"/>
                <w:sz w:val="24"/>
                <w:szCs w:val="24"/>
                <w:lang w:eastAsia="pt-BR"/>
              </w:rPr>
              <w:t> </w:t>
            </w:r>
          </w:p>
        </w:tc>
        <w:tc>
          <w:tcPr>
            <w:tcW w:w="15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3B2292" w:rsidRDefault="00B75C56" w:rsidP="000841C9">
            <w:pPr>
              <w:spacing w:before="100" w:beforeAutospacing="1" w:after="0" w:line="240" w:lineRule="auto"/>
              <w:jc w:val="center"/>
              <w:rPr>
                <w:rFonts w:ascii="Times New Roman" w:eastAsia="Times New Roman" w:hAnsi="Times New Roman" w:cs="Times New Roman"/>
                <w:sz w:val="24"/>
                <w:szCs w:val="24"/>
                <w:lang w:eastAsia="pt-BR"/>
              </w:rPr>
            </w:pPr>
            <w:r w:rsidRPr="003B2292">
              <w:rPr>
                <w:rFonts w:ascii="Arial" w:eastAsia="Times New Roman" w:hAnsi="Arial" w:cs="Arial"/>
                <w:sz w:val="16"/>
                <w:szCs w:val="16"/>
                <w:lang w:eastAsia="pt-BR"/>
              </w:rPr>
              <w:t>0,00%</w:t>
            </w:r>
          </w:p>
        </w:tc>
        <w:tc>
          <w:tcPr>
            <w:tcW w:w="15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3B2292" w:rsidRDefault="00B75C56" w:rsidP="000841C9">
            <w:pPr>
              <w:spacing w:before="100" w:beforeAutospacing="1" w:after="0" w:line="240" w:lineRule="auto"/>
              <w:jc w:val="center"/>
              <w:rPr>
                <w:rFonts w:ascii="Times New Roman" w:eastAsia="Times New Roman" w:hAnsi="Times New Roman" w:cs="Times New Roman"/>
                <w:sz w:val="24"/>
                <w:szCs w:val="24"/>
                <w:lang w:eastAsia="pt-BR"/>
              </w:rPr>
            </w:pPr>
            <w:r w:rsidRPr="003B2292">
              <w:rPr>
                <w:rFonts w:ascii="Arial" w:eastAsia="Times New Roman" w:hAnsi="Arial" w:cs="Arial"/>
                <w:sz w:val="16"/>
                <w:szCs w:val="16"/>
                <w:lang w:eastAsia="pt-BR"/>
              </w:rPr>
              <w:t>0,00%</w:t>
            </w:r>
          </w:p>
        </w:tc>
      </w:tr>
      <w:tr w:rsidR="00B75C56" w:rsidRPr="00B75C56" w:rsidTr="000841C9">
        <w:trPr>
          <w:trHeight w:val="337"/>
        </w:trPr>
        <w:tc>
          <w:tcPr>
            <w:tcW w:w="0" w:type="auto"/>
            <w:vMerge/>
            <w:tcBorders>
              <w:top w:val="nil"/>
              <w:left w:val="single" w:sz="8" w:space="0" w:color="auto"/>
              <w:bottom w:val="single" w:sz="8" w:space="0" w:color="auto"/>
              <w:right w:val="single" w:sz="8" w:space="0" w:color="auto"/>
            </w:tcBorders>
            <w:vAlign w:val="center"/>
            <w:hideMark/>
          </w:tcPr>
          <w:p w:rsidR="00B75C56" w:rsidRPr="00DE2EA6" w:rsidRDefault="00B75C56" w:rsidP="00B75C56">
            <w:pPr>
              <w:spacing w:after="0" w:line="240" w:lineRule="auto"/>
              <w:rPr>
                <w:rFonts w:ascii="Times New Roman" w:eastAsia="Times New Roman" w:hAnsi="Times New Roman" w:cs="Times New Roman"/>
                <w:sz w:val="24"/>
                <w:szCs w:val="24"/>
                <w:lang w:eastAsia="pt-BR"/>
              </w:rPr>
            </w:pPr>
          </w:p>
        </w:tc>
        <w:tc>
          <w:tcPr>
            <w:tcW w:w="3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DE2EA6" w:rsidRDefault="00B75C56" w:rsidP="00B75C56">
            <w:pPr>
              <w:spacing w:before="100" w:beforeAutospacing="1" w:after="0" w:line="240" w:lineRule="auto"/>
              <w:rPr>
                <w:rFonts w:ascii="Times New Roman" w:eastAsia="Times New Roman" w:hAnsi="Times New Roman" w:cs="Times New Roman"/>
                <w:sz w:val="24"/>
                <w:szCs w:val="24"/>
                <w:lang w:eastAsia="pt-BR"/>
              </w:rPr>
            </w:pPr>
            <w:r w:rsidRPr="00DE2EA6">
              <w:rPr>
                <w:rFonts w:ascii="Arial" w:eastAsia="Times New Roman" w:hAnsi="Arial" w:cs="Arial"/>
                <w:sz w:val="16"/>
                <w:szCs w:val="16"/>
                <w:lang w:eastAsia="pt-BR"/>
              </w:rPr>
              <w:t>7º VI a - Certificados de Dep. Bancários</w:t>
            </w:r>
          </w:p>
        </w:tc>
        <w:tc>
          <w:tcPr>
            <w:tcW w:w="1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DE2EA6"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DE2EA6">
              <w:rPr>
                <w:rFonts w:ascii="Arial" w:eastAsia="Times New Roman" w:hAnsi="Arial" w:cs="Arial"/>
                <w:sz w:val="16"/>
                <w:szCs w:val="16"/>
                <w:lang w:eastAsia="pt-BR"/>
              </w:rPr>
              <w:t>15,00%</w:t>
            </w:r>
          </w:p>
        </w:tc>
        <w:tc>
          <w:tcPr>
            <w:tcW w:w="267" w:type="dxa"/>
            <w:tcBorders>
              <w:top w:val="nil"/>
              <w:left w:val="nil"/>
              <w:bottom w:val="nil"/>
              <w:right w:val="single" w:sz="8" w:space="0" w:color="auto"/>
            </w:tcBorders>
            <w:tcMar>
              <w:top w:w="0" w:type="dxa"/>
              <w:left w:w="108" w:type="dxa"/>
              <w:bottom w:w="0" w:type="dxa"/>
              <w:right w:w="108" w:type="dxa"/>
            </w:tcMar>
            <w:vAlign w:val="center"/>
            <w:hideMark/>
          </w:tcPr>
          <w:p w:rsidR="00B75C56" w:rsidRPr="00B75C56" w:rsidRDefault="00B75C56" w:rsidP="00B75C56">
            <w:pPr>
              <w:spacing w:before="100" w:beforeAutospacing="1" w:after="0" w:line="240" w:lineRule="auto"/>
              <w:jc w:val="center"/>
              <w:rPr>
                <w:rFonts w:ascii="Times New Roman" w:eastAsia="Times New Roman" w:hAnsi="Times New Roman" w:cs="Times New Roman"/>
                <w:color w:val="FF0000"/>
                <w:sz w:val="24"/>
                <w:szCs w:val="24"/>
                <w:lang w:eastAsia="pt-BR"/>
              </w:rPr>
            </w:pPr>
            <w:r w:rsidRPr="00B75C56">
              <w:rPr>
                <w:rFonts w:ascii="Arial" w:eastAsia="Times New Roman" w:hAnsi="Arial" w:cs="Arial"/>
                <w:color w:val="FF0000"/>
                <w:sz w:val="24"/>
                <w:szCs w:val="24"/>
                <w:lang w:eastAsia="pt-BR"/>
              </w:rPr>
              <w:t> </w:t>
            </w:r>
          </w:p>
        </w:tc>
        <w:tc>
          <w:tcPr>
            <w:tcW w:w="15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3B2292" w:rsidRDefault="00B75C56" w:rsidP="000841C9">
            <w:pPr>
              <w:spacing w:before="100" w:beforeAutospacing="1" w:after="0" w:line="240" w:lineRule="auto"/>
              <w:jc w:val="center"/>
              <w:rPr>
                <w:rFonts w:ascii="Times New Roman" w:eastAsia="Times New Roman" w:hAnsi="Times New Roman" w:cs="Times New Roman"/>
                <w:sz w:val="24"/>
                <w:szCs w:val="24"/>
                <w:lang w:eastAsia="pt-BR"/>
              </w:rPr>
            </w:pPr>
            <w:r w:rsidRPr="003B2292">
              <w:rPr>
                <w:rFonts w:ascii="Arial" w:eastAsia="Times New Roman" w:hAnsi="Arial" w:cs="Arial"/>
                <w:sz w:val="16"/>
                <w:szCs w:val="16"/>
                <w:lang w:eastAsia="pt-BR"/>
              </w:rPr>
              <w:t>0,00%</w:t>
            </w:r>
          </w:p>
        </w:tc>
        <w:tc>
          <w:tcPr>
            <w:tcW w:w="15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3B2292" w:rsidRDefault="00B75C56" w:rsidP="000841C9">
            <w:pPr>
              <w:spacing w:before="100" w:beforeAutospacing="1" w:after="0" w:line="240" w:lineRule="auto"/>
              <w:jc w:val="center"/>
              <w:rPr>
                <w:rFonts w:ascii="Times New Roman" w:eastAsia="Times New Roman" w:hAnsi="Times New Roman" w:cs="Times New Roman"/>
                <w:sz w:val="24"/>
                <w:szCs w:val="24"/>
                <w:lang w:eastAsia="pt-BR"/>
              </w:rPr>
            </w:pPr>
            <w:r w:rsidRPr="003B2292">
              <w:rPr>
                <w:rFonts w:ascii="Arial" w:eastAsia="Times New Roman" w:hAnsi="Arial" w:cs="Arial"/>
                <w:sz w:val="16"/>
                <w:szCs w:val="16"/>
                <w:lang w:eastAsia="pt-BR"/>
              </w:rPr>
              <w:t>0,00%</w:t>
            </w:r>
          </w:p>
        </w:tc>
      </w:tr>
      <w:tr w:rsidR="00B75C56" w:rsidRPr="00B75C56" w:rsidTr="000841C9">
        <w:trPr>
          <w:trHeight w:val="310"/>
        </w:trPr>
        <w:tc>
          <w:tcPr>
            <w:tcW w:w="0" w:type="auto"/>
            <w:vMerge/>
            <w:tcBorders>
              <w:top w:val="nil"/>
              <w:left w:val="single" w:sz="8" w:space="0" w:color="auto"/>
              <w:bottom w:val="single" w:sz="8" w:space="0" w:color="auto"/>
              <w:right w:val="single" w:sz="8" w:space="0" w:color="auto"/>
            </w:tcBorders>
            <w:vAlign w:val="center"/>
            <w:hideMark/>
          </w:tcPr>
          <w:p w:rsidR="00B75C56" w:rsidRPr="00DE2EA6" w:rsidRDefault="00B75C56" w:rsidP="00B75C56">
            <w:pPr>
              <w:spacing w:after="0" w:line="240" w:lineRule="auto"/>
              <w:rPr>
                <w:rFonts w:ascii="Times New Roman" w:eastAsia="Times New Roman" w:hAnsi="Times New Roman" w:cs="Times New Roman"/>
                <w:sz w:val="24"/>
                <w:szCs w:val="24"/>
                <w:lang w:eastAsia="pt-BR"/>
              </w:rPr>
            </w:pPr>
          </w:p>
        </w:tc>
        <w:tc>
          <w:tcPr>
            <w:tcW w:w="3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DE2EA6" w:rsidRDefault="00B75C56" w:rsidP="00B75C56">
            <w:pPr>
              <w:spacing w:before="100" w:beforeAutospacing="1" w:after="0" w:line="240" w:lineRule="auto"/>
              <w:rPr>
                <w:rFonts w:ascii="Times New Roman" w:eastAsia="Times New Roman" w:hAnsi="Times New Roman" w:cs="Times New Roman"/>
                <w:sz w:val="24"/>
                <w:szCs w:val="24"/>
                <w:lang w:eastAsia="pt-BR"/>
              </w:rPr>
            </w:pPr>
            <w:r w:rsidRPr="00DE2EA6">
              <w:rPr>
                <w:rFonts w:ascii="Arial" w:eastAsia="Times New Roman" w:hAnsi="Arial" w:cs="Arial"/>
                <w:sz w:val="16"/>
                <w:szCs w:val="16"/>
                <w:lang w:eastAsia="pt-BR"/>
              </w:rPr>
              <w:t>7º VI b - Poupança</w:t>
            </w:r>
          </w:p>
        </w:tc>
        <w:tc>
          <w:tcPr>
            <w:tcW w:w="1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DE2EA6"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DE2EA6">
              <w:rPr>
                <w:rFonts w:ascii="Arial" w:eastAsia="Times New Roman" w:hAnsi="Arial" w:cs="Arial"/>
                <w:sz w:val="16"/>
                <w:szCs w:val="16"/>
                <w:lang w:eastAsia="pt-BR"/>
              </w:rPr>
              <w:t>15,00%</w:t>
            </w:r>
          </w:p>
        </w:tc>
        <w:tc>
          <w:tcPr>
            <w:tcW w:w="267" w:type="dxa"/>
            <w:tcBorders>
              <w:top w:val="nil"/>
              <w:left w:val="nil"/>
              <w:bottom w:val="nil"/>
              <w:right w:val="single" w:sz="8" w:space="0" w:color="auto"/>
            </w:tcBorders>
            <w:tcMar>
              <w:top w:w="0" w:type="dxa"/>
              <w:left w:w="108" w:type="dxa"/>
              <w:bottom w:w="0" w:type="dxa"/>
              <w:right w:w="108" w:type="dxa"/>
            </w:tcMar>
            <w:vAlign w:val="center"/>
            <w:hideMark/>
          </w:tcPr>
          <w:p w:rsidR="00B75C56" w:rsidRPr="00B75C56" w:rsidRDefault="00B75C56" w:rsidP="00B75C56">
            <w:pPr>
              <w:spacing w:before="100" w:beforeAutospacing="1" w:after="0" w:line="240" w:lineRule="auto"/>
              <w:jc w:val="center"/>
              <w:rPr>
                <w:rFonts w:ascii="Times New Roman" w:eastAsia="Times New Roman" w:hAnsi="Times New Roman" w:cs="Times New Roman"/>
                <w:color w:val="FF0000"/>
                <w:sz w:val="24"/>
                <w:szCs w:val="24"/>
                <w:lang w:eastAsia="pt-BR"/>
              </w:rPr>
            </w:pPr>
            <w:r w:rsidRPr="00B75C56">
              <w:rPr>
                <w:rFonts w:ascii="Arial" w:eastAsia="Times New Roman" w:hAnsi="Arial" w:cs="Arial"/>
                <w:color w:val="FF0000"/>
                <w:sz w:val="24"/>
                <w:szCs w:val="24"/>
                <w:lang w:eastAsia="pt-BR"/>
              </w:rPr>
              <w:t> </w:t>
            </w:r>
          </w:p>
        </w:tc>
        <w:tc>
          <w:tcPr>
            <w:tcW w:w="15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3B2292" w:rsidRDefault="00B75C56" w:rsidP="000841C9">
            <w:pPr>
              <w:spacing w:before="100" w:beforeAutospacing="1" w:after="0" w:line="240" w:lineRule="auto"/>
              <w:jc w:val="center"/>
              <w:rPr>
                <w:rFonts w:ascii="Times New Roman" w:eastAsia="Times New Roman" w:hAnsi="Times New Roman" w:cs="Times New Roman"/>
                <w:sz w:val="24"/>
                <w:szCs w:val="24"/>
                <w:lang w:eastAsia="pt-BR"/>
              </w:rPr>
            </w:pPr>
            <w:r w:rsidRPr="003B2292">
              <w:rPr>
                <w:rFonts w:ascii="Arial" w:eastAsia="Times New Roman" w:hAnsi="Arial" w:cs="Arial"/>
                <w:sz w:val="16"/>
                <w:szCs w:val="16"/>
                <w:lang w:eastAsia="pt-BR"/>
              </w:rPr>
              <w:t>0,00%</w:t>
            </w:r>
          </w:p>
        </w:tc>
        <w:tc>
          <w:tcPr>
            <w:tcW w:w="15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3B2292" w:rsidRDefault="00B75C56" w:rsidP="000841C9">
            <w:pPr>
              <w:spacing w:before="100" w:beforeAutospacing="1" w:after="0" w:line="240" w:lineRule="auto"/>
              <w:jc w:val="center"/>
              <w:rPr>
                <w:rFonts w:ascii="Times New Roman" w:eastAsia="Times New Roman" w:hAnsi="Times New Roman" w:cs="Times New Roman"/>
                <w:sz w:val="24"/>
                <w:szCs w:val="24"/>
                <w:lang w:eastAsia="pt-BR"/>
              </w:rPr>
            </w:pPr>
            <w:r w:rsidRPr="003B2292">
              <w:rPr>
                <w:rFonts w:ascii="Arial" w:eastAsia="Times New Roman" w:hAnsi="Arial" w:cs="Arial"/>
                <w:sz w:val="16"/>
                <w:szCs w:val="16"/>
                <w:lang w:eastAsia="pt-BR"/>
              </w:rPr>
              <w:t>0,00%</w:t>
            </w:r>
          </w:p>
        </w:tc>
      </w:tr>
      <w:tr w:rsidR="00B75C56" w:rsidRPr="00B75C56" w:rsidTr="000841C9">
        <w:trPr>
          <w:trHeight w:val="337"/>
        </w:trPr>
        <w:tc>
          <w:tcPr>
            <w:tcW w:w="0" w:type="auto"/>
            <w:vMerge/>
            <w:tcBorders>
              <w:top w:val="nil"/>
              <w:left w:val="single" w:sz="8" w:space="0" w:color="auto"/>
              <w:bottom w:val="single" w:sz="8" w:space="0" w:color="auto"/>
              <w:right w:val="single" w:sz="8" w:space="0" w:color="auto"/>
            </w:tcBorders>
            <w:vAlign w:val="center"/>
            <w:hideMark/>
          </w:tcPr>
          <w:p w:rsidR="00B75C56" w:rsidRPr="00DE2EA6" w:rsidRDefault="00B75C56" w:rsidP="00B75C56">
            <w:pPr>
              <w:spacing w:after="0" w:line="240" w:lineRule="auto"/>
              <w:rPr>
                <w:rFonts w:ascii="Times New Roman" w:eastAsia="Times New Roman" w:hAnsi="Times New Roman" w:cs="Times New Roman"/>
                <w:sz w:val="24"/>
                <w:szCs w:val="24"/>
                <w:lang w:eastAsia="pt-BR"/>
              </w:rPr>
            </w:pPr>
          </w:p>
        </w:tc>
        <w:tc>
          <w:tcPr>
            <w:tcW w:w="3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DE2EA6" w:rsidRDefault="00B75C56" w:rsidP="00B75C56">
            <w:pPr>
              <w:spacing w:before="100" w:beforeAutospacing="1" w:after="0" w:line="240" w:lineRule="auto"/>
              <w:rPr>
                <w:rFonts w:ascii="Times New Roman" w:eastAsia="Times New Roman" w:hAnsi="Times New Roman" w:cs="Times New Roman"/>
                <w:sz w:val="24"/>
                <w:szCs w:val="24"/>
                <w:lang w:eastAsia="pt-BR"/>
              </w:rPr>
            </w:pPr>
            <w:r w:rsidRPr="00DE2EA6">
              <w:rPr>
                <w:rFonts w:ascii="Arial" w:eastAsia="Times New Roman" w:hAnsi="Arial" w:cs="Arial"/>
                <w:sz w:val="16"/>
                <w:szCs w:val="16"/>
                <w:lang w:eastAsia="pt-BR"/>
              </w:rPr>
              <w:t>7º VII a - FI em Direitos Creditórios - sênior</w:t>
            </w:r>
          </w:p>
        </w:tc>
        <w:tc>
          <w:tcPr>
            <w:tcW w:w="1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DE2EA6"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DE2EA6">
              <w:rPr>
                <w:rFonts w:ascii="Arial" w:eastAsia="Times New Roman" w:hAnsi="Arial" w:cs="Arial"/>
                <w:sz w:val="16"/>
                <w:szCs w:val="16"/>
                <w:lang w:eastAsia="pt-BR"/>
              </w:rPr>
              <w:t>5,00%</w:t>
            </w:r>
          </w:p>
        </w:tc>
        <w:tc>
          <w:tcPr>
            <w:tcW w:w="267" w:type="dxa"/>
            <w:tcBorders>
              <w:top w:val="nil"/>
              <w:left w:val="nil"/>
              <w:bottom w:val="nil"/>
              <w:right w:val="single" w:sz="8" w:space="0" w:color="auto"/>
            </w:tcBorders>
            <w:tcMar>
              <w:top w:w="0" w:type="dxa"/>
              <w:left w:w="108" w:type="dxa"/>
              <w:bottom w:w="0" w:type="dxa"/>
              <w:right w:w="108" w:type="dxa"/>
            </w:tcMar>
            <w:vAlign w:val="center"/>
            <w:hideMark/>
          </w:tcPr>
          <w:p w:rsidR="00B75C56" w:rsidRPr="00B75C56" w:rsidRDefault="00B75C56" w:rsidP="00B75C56">
            <w:pPr>
              <w:spacing w:before="100" w:beforeAutospacing="1" w:after="0" w:line="240" w:lineRule="auto"/>
              <w:jc w:val="center"/>
              <w:rPr>
                <w:rFonts w:ascii="Times New Roman" w:eastAsia="Times New Roman" w:hAnsi="Times New Roman" w:cs="Times New Roman"/>
                <w:color w:val="FF0000"/>
                <w:sz w:val="24"/>
                <w:szCs w:val="24"/>
                <w:lang w:eastAsia="pt-BR"/>
              </w:rPr>
            </w:pPr>
            <w:r w:rsidRPr="00B75C56">
              <w:rPr>
                <w:rFonts w:ascii="Arial" w:eastAsia="Times New Roman" w:hAnsi="Arial" w:cs="Arial"/>
                <w:color w:val="FF0000"/>
                <w:sz w:val="24"/>
                <w:szCs w:val="24"/>
                <w:lang w:eastAsia="pt-BR"/>
              </w:rPr>
              <w:t> </w:t>
            </w:r>
          </w:p>
        </w:tc>
        <w:tc>
          <w:tcPr>
            <w:tcW w:w="15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3B2292" w:rsidRDefault="00B75C56" w:rsidP="000841C9">
            <w:pPr>
              <w:spacing w:before="100" w:beforeAutospacing="1" w:after="0" w:line="240" w:lineRule="auto"/>
              <w:jc w:val="center"/>
              <w:rPr>
                <w:rFonts w:ascii="Times New Roman" w:eastAsia="Times New Roman" w:hAnsi="Times New Roman" w:cs="Times New Roman"/>
                <w:sz w:val="24"/>
                <w:szCs w:val="24"/>
                <w:lang w:eastAsia="pt-BR"/>
              </w:rPr>
            </w:pPr>
            <w:r w:rsidRPr="003B2292">
              <w:rPr>
                <w:rFonts w:ascii="Arial" w:eastAsia="Times New Roman" w:hAnsi="Arial" w:cs="Arial"/>
                <w:sz w:val="16"/>
                <w:szCs w:val="16"/>
                <w:lang w:eastAsia="pt-BR"/>
              </w:rPr>
              <w:t>0,00%</w:t>
            </w:r>
          </w:p>
        </w:tc>
        <w:tc>
          <w:tcPr>
            <w:tcW w:w="15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3B2292" w:rsidRDefault="00B75C56" w:rsidP="000841C9">
            <w:pPr>
              <w:spacing w:before="100" w:beforeAutospacing="1" w:after="0" w:line="240" w:lineRule="auto"/>
              <w:jc w:val="center"/>
              <w:rPr>
                <w:rFonts w:ascii="Times New Roman" w:eastAsia="Times New Roman" w:hAnsi="Times New Roman" w:cs="Times New Roman"/>
                <w:sz w:val="24"/>
                <w:szCs w:val="24"/>
                <w:lang w:eastAsia="pt-BR"/>
              </w:rPr>
            </w:pPr>
            <w:r w:rsidRPr="003B2292">
              <w:rPr>
                <w:rFonts w:ascii="Arial" w:eastAsia="Times New Roman" w:hAnsi="Arial" w:cs="Arial"/>
                <w:sz w:val="16"/>
                <w:szCs w:val="16"/>
                <w:lang w:eastAsia="pt-BR"/>
              </w:rPr>
              <w:t>0,00%</w:t>
            </w:r>
          </w:p>
        </w:tc>
      </w:tr>
      <w:tr w:rsidR="00B75C56" w:rsidRPr="00B75C56" w:rsidTr="000841C9">
        <w:trPr>
          <w:trHeight w:val="310"/>
        </w:trPr>
        <w:tc>
          <w:tcPr>
            <w:tcW w:w="0" w:type="auto"/>
            <w:vMerge/>
            <w:tcBorders>
              <w:top w:val="nil"/>
              <w:left w:val="single" w:sz="8" w:space="0" w:color="auto"/>
              <w:bottom w:val="single" w:sz="8" w:space="0" w:color="auto"/>
              <w:right w:val="single" w:sz="8" w:space="0" w:color="auto"/>
            </w:tcBorders>
            <w:vAlign w:val="center"/>
            <w:hideMark/>
          </w:tcPr>
          <w:p w:rsidR="00B75C56" w:rsidRPr="00DE2EA6" w:rsidRDefault="00B75C56" w:rsidP="00B75C56">
            <w:pPr>
              <w:spacing w:after="0" w:line="240" w:lineRule="auto"/>
              <w:rPr>
                <w:rFonts w:ascii="Times New Roman" w:eastAsia="Times New Roman" w:hAnsi="Times New Roman" w:cs="Times New Roman"/>
                <w:sz w:val="24"/>
                <w:szCs w:val="24"/>
                <w:lang w:eastAsia="pt-BR"/>
              </w:rPr>
            </w:pPr>
          </w:p>
        </w:tc>
        <w:tc>
          <w:tcPr>
            <w:tcW w:w="3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DE2EA6" w:rsidRDefault="00B75C56" w:rsidP="00B75C56">
            <w:pPr>
              <w:spacing w:before="100" w:beforeAutospacing="1" w:after="0" w:line="240" w:lineRule="auto"/>
              <w:rPr>
                <w:rFonts w:ascii="Times New Roman" w:eastAsia="Times New Roman" w:hAnsi="Times New Roman" w:cs="Times New Roman"/>
                <w:sz w:val="24"/>
                <w:szCs w:val="24"/>
                <w:lang w:eastAsia="pt-BR"/>
              </w:rPr>
            </w:pPr>
            <w:r w:rsidRPr="00DE2EA6">
              <w:rPr>
                <w:rFonts w:ascii="Arial" w:eastAsia="Times New Roman" w:hAnsi="Arial" w:cs="Arial"/>
                <w:sz w:val="16"/>
                <w:szCs w:val="16"/>
                <w:lang w:eastAsia="pt-BR"/>
              </w:rPr>
              <w:t>7º VII b - FI Renda Fixa "Crédito Privado"</w:t>
            </w:r>
          </w:p>
        </w:tc>
        <w:tc>
          <w:tcPr>
            <w:tcW w:w="1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DE2EA6"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DE2EA6">
              <w:rPr>
                <w:rFonts w:ascii="Arial" w:eastAsia="Times New Roman" w:hAnsi="Arial" w:cs="Arial"/>
                <w:sz w:val="16"/>
                <w:szCs w:val="16"/>
                <w:lang w:eastAsia="pt-BR"/>
              </w:rPr>
              <w:t>5,00%</w:t>
            </w:r>
          </w:p>
        </w:tc>
        <w:tc>
          <w:tcPr>
            <w:tcW w:w="267" w:type="dxa"/>
            <w:tcBorders>
              <w:top w:val="nil"/>
              <w:left w:val="nil"/>
              <w:bottom w:val="nil"/>
              <w:right w:val="single" w:sz="8" w:space="0" w:color="auto"/>
            </w:tcBorders>
            <w:tcMar>
              <w:top w:w="0" w:type="dxa"/>
              <w:left w:w="108" w:type="dxa"/>
              <w:bottom w:w="0" w:type="dxa"/>
              <w:right w:w="108" w:type="dxa"/>
            </w:tcMar>
            <w:vAlign w:val="center"/>
            <w:hideMark/>
          </w:tcPr>
          <w:p w:rsidR="00B75C56" w:rsidRPr="00B75C56" w:rsidRDefault="00B75C56" w:rsidP="00B75C56">
            <w:pPr>
              <w:spacing w:before="100" w:beforeAutospacing="1" w:after="0" w:line="240" w:lineRule="auto"/>
              <w:jc w:val="center"/>
              <w:rPr>
                <w:rFonts w:ascii="Times New Roman" w:eastAsia="Times New Roman" w:hAnsi="Times New Roman" w:cs="Times New Roman"/>
                <w:color w:val="FF0000"/>
                <w:sz w:val="24"/>
                <w:szCs w:val="24"/>
                <w:lang w:eastAsia="pt-BR"/>
              </w:rPr>
            </w:pPr>
            <w:r w:rsidRPr="00B75C56">
              <w:rPr>
                <w:rFonts w:ascii="Arial" w:eastAsia="Times New Roman" w:hAnsi="Arial" w:cs="Arial"/>
                <w:color w:val="FF0000"/>
                <w:sz w:val="24"/>
                <w:szCs w:val="24"/>
                <w:lang w:eastAsia="pt-BR"/>
              </w:rPr>
              <w:t> </w:t>
            </w:r>
          </w:p>
        </w:tc>
        <w:tc>
          <w:tcPr>
            <w:tcW w:w="15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3B2292" w:rsidRDefault="00B75C56" w:rsidP="000841C9">
            <w:pPr>
              <w:spacing w:before="100" w:beforeAutospacing="1" w:after="0" w:line="240" w:lineRule="auto"/>
              <w:jc w:val="center"/>
              <w:rPr>
                <w:rFonts w:ascii="Times New Roman" w:eastAsia="Times New Roman" w:hAnsi="Times New Roman" w:cs="Times New Roman"/>
                <w:sz w:val="24"/>
                <w:szCs w:val="24"/>
                <w:lang w:eastAsia="pt-BR"/>
              </w:rPr>
            </w:pPr>
            <w:r w:rsidRPr="003B2292">
              <w:rPr>
                <w:rFonts w:ascii="Arial" w:eastAsia="Times New Roman" w:hAnsi="Arial" w:cs="Arial"/>
                <w:sz w:val="16"/>
                <w:szCs w:val="16"/>
                <w:lang w:eastAsia="pt-BR"/>
              </w:rPr>
              <w:t>0,00%</w:t>
            </w:r>
          </w:p>
        </w:tc>
        <w:tc>
          <w:tcPr>
            <w:tcW w:w="15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3B2292" w:rsidRDefault="00B75C56" w:rsidP="000841C9">
            <w:pPr>
              <w:spacing w:before="100" w:beforeAutospacing="1" w:after="0" w:line="240" w:lineRule="auto"/>
              <w:jc w:val="center"/>
              <w:rPr>
                <w:rFonts w:ascii="Times New Roman" w:eastAsia="Times New Roman" w:hAnsi="Times New Roman" w:cs="Times New Roman"/>
                <w:sz w:val="24"/>
                <w:szCs w:val="24"/>
                <w:lang w:eastAsia="pt-BR"/>
              </w:rPr>
            </w:pPr>
            <w:r w:rsidRPr="003B2292">
              <w:rPr>
                <w:rFonts w:ascii="Arial" w:eastAsia="Times New Roman" w:hAnsi="Arial" w:cs="Arial"/>
                <w:sz w:val="16"/>
                <w:szCs w:val="16"/>
                <w:lang w:eastAsia="pt-BR"/>
              </w:rPr>
              <w:t>0,00%</w:t>
            </w:r>
          </w:p>
        </w:tc>
      </w:tr>
      <w:tr w:rsidR="00B75C56" w:rsidRPr="00B75C56" w:rsidTr="000841C9">
        <w:trPr>
          <w:trHeight w:val="310"/>
        </w:trPr>
        <w:tc>
          <w:tcPr>
            <w:tcW w:w="0" w:type="auto"/>
            <w:vMerge/>
            <w:tcBorders>
              <w:top w:val="nil"/>
              <w:left w:val="single" w:sz="8" w:space="0" w:color="auto"/>
              <w:bottom w:val="single" w:sz="8" w:space="0" w:color="auto"/>
              <w:right w:val="single" w:sz="8" w:space="0" w:color="auto"/>
            </w:tcBorders>
            <w:vAlign w:val="center"/>
            <w:hideMark/>
          </w:tcPr>
          <w:p w:rsidR="00B75C56" w:rsidRPr="00DE2EA6" w:rsidRDefault="00B75C56" w:rsidP="00B75C56">
            <w:pPr>
              <w:spacing w:after="0" w:line="240" w:lineRule="auto"/>
              <w:rPr>
                <w:rFonts w:ascii="Times New Roman" w:eastAsia="Times New Roman" w:hAnsi="Times New Roman" w:cs="Times New Roman"/>
                <w:sz w:val="24"/>
                <w:szCs w:val="24"/>
                <w:lang w:eastAsia="pt-BR"/>
              </w:rPr>
            </w:pPr>
          </w:p>
        </w:tc>
        <w:tc>
          <w:tcPr>
            <w:tcW w:w="3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DE2EA6" w:rsidRDefault="00B75C56" w:rsidP="00B75C56">
            <w:pPr>
              <w:spacing w:before="100" w:beforeAutospacing="1" w:after="0" w:line="240" w:lineRule="auto"/>
              <w:rPr>
                <w:rFonts w:ascii="Times New Roman" w:eastAsia="Times New Roman" w:hAnsi="Times New Roman" w:cs="Times New Roman"/>
                <w:sz w:val="24"/>
                <w:szCs w:val="24"/>
                <w:lang w:eastAsia="pt-BR"/>
              </w:rPr>
            </w:pPr>
            <w:r w:rsidRPr="00DE2EA6">
              <w:rPr>
                <w:rFonts w:ascii="Arial" w:eastAsia="Times New Roman" w:hAnsi="Arial" w:cs="Arial"/>
                <w:sz w:val="16"/>
                <w:szCs w:val="16"/>
                <w:lang w:eastAsia="pt-BR"/>
              </w:rPr>
              <w:t xml:space="preserve">7º VII c - FI de Debêntures </w:t>
            </w:r>
            <w:proofErr w:type="spellStart"/>
            <w:r w:rsidRPr="00DE2EA6">
              <w:rPr>
                <w:rFonts w:ascii="Arial" w:eastAsia="Times New Roman" w:hAnsi="Arial" w:cs="Arial"/>
                <w:sz w:val="16"/>
                <w:szCs w:val="16"/>
                <w:lang w:eastAsia="pt-BR"/>
              </w:rPr>
              <w:t>Infraestrutura</w:t>
            </w:r>
            <w:proofErr w:type="spellEnd"/>
          </w:p>
        </w:tc>
        <w:tc>
          <w:tcPr>
            <w:tcW w:w="1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DE2EA6"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DE2EA6">
              <w:rPr>
                <w:rFonts w:ascii="Arial" w:eastAsia="Times New Roman" w:hAnsi="Arial" w:cs="Arial"/>
                <w:sz w:val="16"/>
                <w:szCs w:val="16"/>
                <w:lang w:eastAsia="pt-BR"/>
              </w:rPr>
              <w:t>5,00%</w:t>
            </w:r>
          </w:p>
        </w:tc>
        <w:tc>
          <w:tcPr>
            <w:tcW w:w="267" w:type="dxa"/>
            <w:tcBorders>
              <w:top w:val="nil"/>
              <w:left w:val="nil"/>
              <w:bottom w:val="nil"/>
              <w:right w:val="single" w:sz="8" w:space="0" w:color="auto"/>
            </w:tcBorders>
            <w:tcMar>
              <w:top w:w="0" w:type="dxa"/>
              <w:left w:w="108" w:type="dxa"/>
              <w:bottom w:w="0" w:type="dxa"/>
              <w:right w:w="108" w:type="dxa"/>
            </w:tcMar>
            <w:vAlign w:val="center"/>
            <w:hideMark/>
          </w:tcPr>
          <w:p w:rsidR="00B75C56" w:rsidRPr="00B75C56" w:rsidRDefault="00B75C56" w:rsidP="00B75C56">
            <w:pPr>
              <w:spacing w:before="100" w:beforeAutospacing="1" w:after="0" w:line="240" w:lineRule="auto"/>
              <w:jc w:val="center"/>
              <w:rPr>
                <w:rFonts w:ascii="Times New Roman" w:eastAsia="Times New Roman" w:hAnsi="Times New Roman" w:cs="Times New Roman"/>
                <w:color w:val="FF0000"/>
                <w:sz w:val="24"/>
                <w:szCs w:val="24"/>
                <w:lang w:eastAsia="pt-BR"/>
              </w:rPr>
            </w:pPr>
            <w:r w:rsidRPr="00B75C56">
              <w:rPr>
                <w:rFonts w:ascii="Arial" w:eastAsia="Times New Roman" w:hAnsi="Arial" w:cs="Arial"/>
                <w:color w:val="FF0000"/>
                <w:sz w:val="24"/>
                <w:szCs w:val="24"/>
                <w:lang w:eastAsia="pt-BR"/>
              </w:rPr>
              <w:t> </w:t>
            </w:r>
          </w:p>
        </w:tc>
        <w:tc>
          <w:tcPr>
            <w:tcW w:w="15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3B2292" w:rsidRDefault="00B75C56" w:rsidP="000841C9">
            <w:pPr>
              <w:spacing w:before="100" w:beforeAutospacing="1" w:after="0" w:line="240" w:lineRule="auto"/>
              <w:jc w:val="center"/>
              <w:rPr>
                <w:rFonts w:ascii="Times New Roman" w:eastAsia="Times New Roman" w:hAnsi="Times New Roman" w:cs="Times New Roman"/>
                <w:sz w:val="24"/>
                <w:szCs w:val="24"/>
                <w:lang w:eastAsia="pt-BR"/>
              </w:rPr>
            </w:pPr>
            <w:r w:rsidRPr="003B2292">
              <w:rPr>
                <w:rFonts w:ascii="Arial" w:eastAsia="Times New Roman" w:hAnsi="Arial" w:cs="Arial"/>
                <w:sz w:val="16"/>
                <w:szCs w:val="16"/>
                <w:lang w:eastAsia="pt-BR"/>
              </w:rPr>
              <w:t>0,00%</w:t>
            </w:r>
          </w:p>
        </w:tc>
        <w:tc>
          <w:tcPr>
            <w:tcW w:w="15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3B2292" w:rsidRDefault="00B75C56" w:rsidP="000841C9">
            <w:pPr>
              <w:spacing w:before="100" w:beforeAutospacing="1" w:after="0" w:line="240" w:lineRule="auto"/>
              <w:jc w:val="center"/>
              <w:rPr>
                <w:rFonts w:ascii="Times New Roman" w:eastAsia="Times New Roman" w:hAnsi="Times New Roman" w:cs="Times New Roman"/>
                <w:sz w:val="24"/>
                <w:szCs w:val="24"/>
                <w:lang w:eastAsia="pt-BR"/>
              </w:rPr>
            </w:pPr>
            <w:r w:rsidRPr="003B2292">
              <w:rPr>
                <w:rFonts w:ascii="Arial" w:eastAsia="Times New Roman" w:hAnsi="Arial" w:cs="Arial"/>
                <w:sz w:val="16"/>
                <w:szCs w:val="16"/>
                <w:lang w:eastAsia="pt-BR"/>
              </w:rPr>
              <w:t>0,00%</w:t>
            </w:r>
          </w:p>
        </w:tc>
      </w:tr>
      <w:tr w:rsidR="00B75C56" w:rsidRPr="00B75C56" w:rsidTr="00B75C56">
        <w:trPr>
          <w:trHeight w:val="337"/>
        </w:trPr>
        <w:tc>
          <w:tcPr>
            <w:tcW w:w="1143" w:type="dxa"/>
            <w:tcBorders>
              <w:top w:val="nil"/>
              <w:left w:val="nil"/>
              <w:bottom w:val="nil"/>
              <w:right w:val="single" w:sz="8" w:space="0" w:color="auto"/>
            </w:tcBorders>
            <w:tcMar>
              <w:top w:w="0" w:type="dxa"/>
              <w:left w:w="108" w:type="dxa"/>
              <w:bottom w:w="0" w:type="dxa"/>
              <w:right w:w="108" w:type="dxa"/>
            </w:tcMar>
            <w:vAlign w:val="center"/>
            <w:hideMark/>
          </w:tcPr>
          <w:p w:rsidR="00B75C56" w:rsidRPr="00DE2EA6"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DE2EA6">
              <w:rPr>
                <w:rFonts w:ascii="Arial" w:eastAsia="Times New Roman" w:hAnsi="Arial" w:cs="Arial"/>
                <w:b/>
                <w:bCs/>
                <w:sz w:val="16"/>
                <w:szCs w:val="16"/>
                <w:lang w:eastAsia="pt-BR"/>
              </w:rPr>
              <w:t> </w:t>
            </w:r>
          </w:p>
        </w:tc>
        <w:tc>
          <w:tcPr>
            <w:tcW w:w="386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B75C56" w:rsidRPr="00DE2EA6" w:rsidRDefault="00B75C56" w:rsidP="00B75C56">
            <w:pPr>
              <w:spacing w:before="100" w:beforeAutospacing="1" w:after="0" w:line="240" w:lineRule="auto"/>
              <w:rPr>
                <w:rFonts w:ascii="Times New Roman" w:eastAsia="Times New Roman" w:hAnsi="Times New Roman" w:cs="Times New Roman"/>
                <w:sz w:val="24"/>
                <w:szCs w:val="24"/>
                <w:lang w:eastAsia="pt-BR"/>
              </w:rPr>
            </w:pPr>
            <w:r w:rsidRPr="00DE2EA6">
              <w:rPr>
                <w:rFonts w:ascii="Arial" w:eastAsia="Times New Roman" w:hAnsi="Arial" w:cs="Arial"/>
                <w:b/>
                <w:bCs/>
                <w:sz w:val="16"/>
                <w:szCs w:val="16"/>
                <w:lang w:eastAsia="pt-BR"/>
              </w:rPr>
              <w:t xml:space="preserve">Limite de Renda Fixa </w:t>
            </w:r>
          </w:p>
        </w:tc>
        <w:tc>
          <w:tcPr>
            <w:tcW w:w="151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B75C56" w:rsidRPr="00DE2EA6"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DE2EA6">
              <w:rPr>
                <w:rFonts w:ascii="Arial" w:eastAsia="Times New Roman" w:hAnsi="Arial" w:cs="Arial"/>
                <w:b/>
                <w:bCs/>
                <w:sz w:val="16"/>
                <w:szCs w:val="16"/>
                <w:lang w:eastAsia="pt-BR"/>
              </w:rPr>
              <w:t>100,00%</w:t>
            </w:r>
          </w:p>
        </w:tc>
        <w:tc>
          <w:tcPr>
            <w:tcW w:w="267" w:type="dxa"/>
            <w:tcBorders>
              <w:top w:val="nil"/>
              <w:left w:val="nil"/>
              <w:bottom w:val="nil"/>
              <w:right w:val="single" w:sz="8" w:space="0" w:color="auto"/>
            </w:tcBorders>
            <w:tcMar>
              <w:top w:w="0" w:type="dxa"/>
              <w:left w:w="108" w:type="dxa"/>
              <w:bottom w:w="0" w:type="dxa"/>
              <w:right w:w="108" w:type="dxa"/>
            </w:tcMar>
            <w:vAlign w:val="center"/>
            <w:hideMark/>
          </w:tcPr>
          <w:p w:rsidR="00B75C56" w:rsidRPr="00B75C56" w:rsidRDefault="00B75C56" w:rsidP="00B75C56">
            <w:pPr>
              <w:spacing w:before="100" w:beforeAutospacing="1" w:after="0" w:line="240" w:lineRule="auto"/>
              <w:jc w:val="center"/>
              <w:rPr>
                <w:rFonts w:ascii="Times New Roman" w:eastAsia="Times New Roman" w:hAnsi="Times New Roman" w:cs="Times New Roman"/>
                <w:color w:val="FF0000"/>
                <w:sz w:val="24"/>
                <w:szCs w:val="24"/>
                <w:lang w:eastAsia="pt-BR"/>
              </w:rPr>
            </w:pPr>
            <w:r w:rsidRPr="00B75C56">
              <w:rPr>
                <w:rFonts w:ascii="Arial" w:eastAsia="Times New Roman" w:hAnsi="Arial" w:cs="Arial"/>
                <w:color w:val="FF0000"/>
                <w:sz w:val="24"/>
                <w:szCs w:val="24"/>
                <w:lang w:eastAsia="pt-BR"/>
              </w:rPr>
              <w:t> </w:t>
            </w:r>
          </w:p>
        </w:tc>
        <w:tc>
          <w:tcPr>
            <w:tcW w:w="151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B75C56" w:rsidRPr="003B2292"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3B2292">
              <w:rPr>
                <w:rFonts w:ascii="Arial" w:eastAsia="Times New Roman" w:hAnsi="Arial" w:cs="Arial"/>
                <w:sz w:val="16"/>
                <w:szCs w:val="16"/>
                <w:lang w:eastAsia="pt-BR"/>
              </w:rPr>
              <w:t>12,29%</w:t>
            </w:r>
          </w:p>
        </w:tc>
        <w:tc>
          <w:tcPr>
            <w:tcW w:w="151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B75C56" w:rsidRPr="003B2292"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3B2292">
              <w:rPr>
                <w:rFonts w:ascii="Arial" w:eastAsia="Times New Roman" w:hAnsi="Arial" w:cs="Arial"/>
                <w:sz w:val="16"/>
                <w:szCs w:val="16"/>
                <w:lang w:eastAsia="pt-BR"/>
              </w:rPr>
              <w:t>126,43%</w:t>
            </w:r>
          </w:p>
        </w:tc>
      </w:tr>
      <w:tr w:rsidR="00B75C56" w:rsidRPr="00B75C56" w:rsidTr="00B75C56">
        <w:trPr>
          <w:trHeight w:val="310"/>
        </w:trPr>
        <w:tc>
          <w:tcPr>
            <w:tcW w:w="1143" w:type="dxa"/>
            <w:tcBorders>
              <w:top w:val="nil"/>
              <w:left w:val="nil"/>
              <w:bottom w:val="single" w:sz="8" w:space="0" w:color="auto"/>
              <w:right w:val="nil"/>
            </w:tcBorders>
            <w:tcMar>
              <w:top w:w="0" w:type="dxa"/>
              <w:left w:w="108" w:type="dxa"/>
              <w:bottom w:w="0" w:type="dxa"/>
              <w:right w:w="108" w:type="dxa"/>
            </w:tcMar>
            <w:vAlign w:val="center"/>
            <w:hideMark/>
          </w:tcPr>
          <w:p w:rsidR="00B75C56" w:rsidRPr="00B75C56" w:rsidRDefault="00B75C56" w:rsidP="00B75C56">
            <w:pPr>
              <w:spacing w:before="100" w:beforeAutospacing="1" w:after="0" w:line="240" w:lineRule="auto"/>
              <w:jc w:val="center"/>
              <w:rPr>
                <w:rFonts w:ascii="Times New Roman" w:eastAsia="Times New Roman" w:hAnsi="Times New Roman" w:cs="Times New Roman"/>
                <w:color w:val="FF0000"/>
                <w:sz w:val="24"/>
                <w:szCs w:val="24"/>
                <w:lang w:eastAsia="pt-BR"/>
              </w:rPr>
            </w:pPr>
            <w:r w:rsidRPr="00B75C56">
              <w:rPr>
                <w:rFonts w:ascii="Arial" w:eastAsia="Times New Roman" w:hAnsi="Arial" w:cs="Arial"/>
                <w:b/>
                <w:bCs/>
                <w:color w:val="FF0000"/>
                <w:sz w:val="16"/>
                <w:szCs w:val="16"/>
                <w:lang w:eastAsia="pt-BR"/>
              </w:rPr>
              <w:t> </w:t>
            </w:r>
          </w:p>
        </w:tc>
        <w:tc>
          <w:tcPr>
            <w:tcW w:w="3868" w:type="dxa"/>
            <w:tcBorders>
              <w:top w:val="nil"/>
              <w:left w:val="nil"/>
              <w:bottom w:val="single" w:sz="8" w:space="0" w:color="auto"/>
              <w:right w:val="nil"/>
            </w:tcBorders>
            <w:tcMar>
              <w:top w:w="0" w:type="dxa"/>
              <w:left w:w="108" w:type="dxa"/>
              <w:bottom w:w="0" w:type="dxa"/>
              <w:right w:w="108" w:type="dxa"/>
            </w:tcMar>
            <w:vAlign w:val="center"/>
            <w:hideMark/>
          </w:tcPr>
          <w:p w:rsidR="00B75C56" w:rsidRPr="00B75C56" w:rsidRDefault="00B75C56" w:rsidP="00B75C56">
            <w:pPr>
              <w:spacing w:before="100" w:beforeAutospacing="1" w:after="0" w:line="240" w:lineRule="auto"/>
              <w:rPr>
                <w:rFonts w:ascii="Times New Roman" w:eastAsia="Times New Roman" w:hAnsi="Times New Roman" w:cs="Times New Roman"/>
                <w:color w:val="FF0000"/>
                <w:sz w:val="24"/>
                <w:szCs w:val="24"/>
                <w:lang w:eastAsia="pt-BR"/>
              </w:rPr>
            </w:pPr>
            <w:r w:rsidRPr="00B75C56">
              <w:rPr>
                <w:rFonts w:ascii="Arial" w:eastAsia="Times New Roman" w:hAnsi="Arial" w:cs="Arial"/>
                <w:b/>
                <w:bCs/>
                <w:color w:val="FF0000"/>
                <w:sz w:val="24"/>
                <w:szCs w:val="24"/>
                <w:lang w:eastAsia="pt-BR"/>
              </w:rPr>
              <w:t> </w:t>
            </w:r>
          </w:p>
        </w:tc>
        <w:tc>
          <w:tcPr>
            <w:tcW w:w="1514" w:type="dxa"/>
            <w:tcBorders>
              <w:top w:val="nil"/>
              <w:left w:val="nil"/>
              <w:bottom w:val="single" w:sz="8" w:space="0" w:color="auto"/>
              <w:right w:val="nil"/>
            </w:tcBorders>
            <w:tcMar>
              <w:top w:w="0" w:type="dxa"/>
              <w:left w:w="108" w:type="dxa"/>
              <w:bottom w:w="0" w:type="dxa"/>
              <w:right w:w="108" w:type="dxa"/>
            </w:tcMar>
            <w:vAlign w:val="center"/>
            <w:hideMark/>
          </w:tcPr>
          <w:p w:rsidR="00B75C56" w:rsidRPr="00B75C56" w:rsidRDefault="00B75C56" w:rsidP="00B75C56">
            <w:pPr>
              <w:spacing w:before="100" w:beforeAutospacing="1" w:after="0" w:line="240" w:lineRule="auto"/>
              <w:jc w:val="center"/>
              <w:rPr>
                <w:rFonts w:ascii="Times New Roman" w:eastAsia="Times New Roman" w:hAnsi="Times New Roman" w:cs="Times New Roman"/>
                <w:color w:val="FF0000"/>
                <w:sz w:val="24"/>
                <w:szCs w:val="24"/>
                <w:lang w:eastAsia="pt-BR"/>
              </w:rPr>
            </w:pPr>
            <w:r w:rsidRPr="00B75C56">
              <w:rPr>
                <w:rFonts w:ascii="Arial" w:eastAsia="Times New Roman" w:hAnsi="Arial" w:cs="Arial"/>
                <w:b/>
                <w:bCs/>
                <w:color w:val="FF0000"/>
                <w:sz w:val="24"/>
                <w:szCs w:val="24"/>
                <w:lang w:eastAsia="pt-BR"/>
              </w:rPr>
              <w:t> </w:t>
            </w:r>
          </w:p>
        </w:tc>
        <w:tc>
          <w:tcPr>
            <w:tcW w:w="267" w:type="dxa"/>
            <w:tcBorders>
              <w:top w:val="nil"/>
              <w:left w:val="nil"/>
              <w:bottom w:val="nil"/>
              <w:right w:val="nil"/>
            </w:tcBorders>
            <w:tcMar>
              <w:top w:w="0" w:type="dxa"/>
              <w:left w:w="108" w:type="dxa"/>
              <w:bottom w:w="0" w:type="dxa"/>
              <w:right w:w="108" w:type="dxa"/>
            </w:tcMar>
            <w:vAlign w:val="center"/>
            <w:hideMark/>
          </w:tcPr>
          <w:p w:rsidR="00B75C56" w:rsidRPr="00B75C56" w:rsidRDefault="00B75C56" w:rsidP="00B75C56">
            <w:pPr>
              <w:spacing w:before="100" w:beforeAutospacing="1" w:after="0" w:line="240" w:lineRule="auto"/>
              <w:jc w:val="center"/>
              <w:rPr>
                <w:rFonts w:ascii="Times New Roman" w:eastAsia="Times New Roman" w:hAnsi="Times New Roman" w:cs="Times New Roman"/>
                <w:color w:val="FF0000"/>
                <w:sz w:val="24"/>
                <w:szCs w:val="24"/>
                <w:lang w:eastAsia="pt-BR"/>
              </w:rPr>
            </w:pPr>
            <w:r w:rsidRPr="00B75C56">
              <w:rPr>
                <w:rFonts w:ascii="Arial" w:eastAsia="Times New Roman" w:hAnsi="Arial" w:cs="Arial"/>
                <w:color w:val="FF0000"/>
                <w:sz w:val="24"/>
                <w:szCs w:val="24"/>
                <w:lang w:eastAsia="pt-BR"/>
              </w:rPr>
              <w:t> </w:t>
            </w:r>
          </w:p>
        </w:tc>
        <w:tc>
          <w:tcPr>
            <w:tcW w:w="1515" w:type="dxa"/>
            <w:tcBorders>
              <w:top w:val="nil"/>
              <w:left w:val="nil"/>
              <w:bottom w:val="single" w:sz="8" w:space="0" w:color="auto"/>
              <w:right w:val="nil"/>
            </w:tcBorders>
            <w:tcMar>
              <w:top w:w="0" w:type="dxa"/>
              <w:left w:w="108" w:type="dxa"/>
              <w:bottom w:w="0" w:type="dxa"/>
              <w:right w:w="108" w:type="dxa"/>
            </w:tcMar>
            <w:vAlign w:val="center"/>
            <w:hideMark/>
          </w:tcPr>
          <w:p w:rsidR="00B75C56" w:rsidRPr="00B75C56" w:rsidRDefault="00B75C56" w:rsidP="00B75C56">
            <w:pPr>
              <w:spacing w:before="100" w:beforeAutospacing="1" w:after="0" w:line="240" w:lineRule="auto"/>
              <w:jc w:val="center"/>
              <w:rPr>
                <w:rFonts w:ascii="Times New Roman" w:eastAsia="Times New Roman" w:hAnsi="Times New Roman" w:cs="Times New Roman"/>
                <w:color w:val="FF0000"/>
                <w:sz w:val="24"/>
                <w:szCs w:val="24"/>
                <w:lang w:eastAsia="pt-BR"/>
              </w:rPr>
            </w:pPr>
            <w:r w:rsidRPr="00B75C56">
              <w:rPr>
                <w:rFonts w:ascii="Arial" w:eastAsia="Times New Roman" w:hAnsi="Arial" w:cs="Arial"/>
                <w:color w:val="FF0000"/>
                <w:sz w:val="24"/>
                <w:szCs w:val="24"/>
                <w:lang w:eastAsia="pt-BR"/>
              </w:rPr>
              <w:t> </w:t>
            </w:r>
          </w:p>
        </w:tc>
        <w:tc>
          <w:tcPr>
            <w:tcW w:w="1515" w:type="dxa"/>
            <w:tcBorders>
              <w:top w:val="nil"/>
              <w:left w:val="nil"/>
              <w:bottom w:val="single" w:sz="8" w:space="0" w:color="auto"/>
              <w:right w:val="nil"/>
            </w:tcBorders>
            <w:tcMar>
              <w:top w:w="0" w:type="dxa"/>
              <w:left w:w="108" w:type="dxa"/>
              <w:bottom w:w="0" w:type="dxa"/>
              <w:right w:w="108" w:type="dxa"/>
            </w:tcMar>
            <w:vAlign w:val="center"/>
            <w:hideMark/>
          </w:tcPr>
          <w:p w:rsidR="00B75C56" w:rsidRPr="00B75C56" w:rsidRDefault="00B75C56" w:rsidP="00B75C56">
            <w:pPr>
              <w:spacing w:before="100" w:beforeAutospacing="1" w:after="0" w:line="240" w:lineRule="auto"/>
              <w:jc w:val="center"/>
              <w:rPr>
                <w:rFonts w:ascii="Times New Roman" w:eastAsia="Times New Roman" w:hAnsi="Times New Roman" w:cs="Times New Roman"/>
                <w:color w:val="FF0000"/>
                <w:sz w:val="24"/>
                <w:szCs w:val="24"/>
                <w:lang w:eastAsia="pt-BR"/>
              </w:rPr>
            </w:pPr>
            <w:r w:rsidRPr="00B75C56">
              <w:rPr>
                <w:rFonts w:ascii="Arial" w:eastAsia="Times New Roman" w:hAnsi="Arial" w:cs="Arial"/>
                <w:color w:val="FF0000"/>
                <w:sz w:val="24"/>
                <w:szCs w:val="24"/>
                <w:lang w:eastAsia="pt-BR"/>
              </w:rPr>
              <w:t> </w:t>
            </w:r>
          </w:p>
        </w:tc>
      </w:tr>
      <w:tr w:rsidR="00B75C56" w:rsidRPr="00B75C56" w:rsidTr="00B75C56">
        <w:trPr>
          <w:trHeight w:val="337"/>
        </w:trPr>
        <w:tc>
          <w:tcPr>
            <w:tcW w:w="1143" w:type="dxa"/>
            <w:vMerge w:val="restar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B75C56" w:rsidRPr="00DE2EA6"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DE2EA6">
              <w:rPr>
                <w:rFonts w:ascii="Arial" w:eastAsia="Times New Roman" w:hAnsi="Arial" w:cs="Arial"/>
                <w:b/>
                <w:bCs/>
                <w:sz w:val="16"/>
                <w:szCs w:val="16"/>
                <w:lang w:eastAsia="pt-BR"/>
              </w:rPr>
              <w:t>Renda Variável</w:t>
            </w:r>
          </w:p>
        </w:tc>
        <w:tc>
          <w:tcPr>
            <w:tcW w:w="3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DE2EA6" w:rsidRDefault="00B75C56" w:rsidP="00B75C56">
            <w:pPr>
              <w:spacing w:before="100" w:beforeAutospacing="1" w:after="0" w:line="240" w:lineRule="auto"/>
              <w:rPr>
                <w:rFonts w:ascii="Times New Roman" w:eastAsia="Times New Roman" w:hAnsi="Times New Roman" w:cs="Times New Roman"/>
                <w:sz w:val="24"/>
                <w:szCs w:val="24"/>
                <w:lang w:eastAsia="pt-BR"/>
              </w:rPr>
            </w:pPr>
            <w:r w:rsidRPr="00DE2EA6">
              <w:rPr>
                <w:rFonts w:ascii="Arial" w:eastAsia="Times New Roman" w:hAnsi="Arial" w:cs="Arial"/>
                <w:sz w:val="16"/>
                <w:szCs w:val="16"/>
                <w:lang w:eastAsia="pt-BR"/>
              </w:rPr>
              <w:t>8º I a - FI Referenciados em Renda Variável</w:t>
            </w:r>
          </w:p>
        </w:tc>
        <w:tc>
          <w:tcPr>
            <w:tcW w:w="1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DE2EA6"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DE2EA6">
              <w:rPr>
                <w:rFonts w:ascii="Arial" w:eastAsia="Times New Roman" w:hAnsi="Arial" w:cs="Arial"/>
                <w:sz w:val="16"/>
                <w:szCs w:val="16"/>
                <w:lang w:eastAsia="pt-BR"/>
              </w:rPr>
              <w:t>30,00%</w:t>
            </w:r>
          </w:p>
        </w:tc>
        <w:tc>
          <w:tcPr>
            <w:tcW w:w="267" w:type="dxa"/>
            <w:tcBorders>
              <w:top w:val="nil"/>
              <w:left w:val="nil"/>
              <w:bottom w:val="nil"/>
              <w:right w:val="single" w:sz="8" w:space="0" w:color="auto"/>
            </w:tcBorders>
            <w:tcMar>
              <w:top w:w="0" w:type="dxa"/>
              <w:left w:w="108" w:type="dxa"/>
              <w:bottom w:w="0" w:type="dxa"/>
              <w:right w:w="108" w:type="dxa"/>
            </w:tcMar>
            <w:vAlign w:val="center"/>
            <w:hideMark/>
          </w:tcPr>
          <w:p w:rsidR="00B75C56" w:rsidRPr="00B75C56" w:rsidRDefault="00B75C56" w:rsidP="00B75C56">
            <w:pPr>
              <w:spacing w:before="100" w:beforeAutospacing="1" w:after="0" w:line="240" w:lineRule="auto"/>
              <w:jc w:val="center"/>
              <w:rPr>
                <w:rFonts w:ascii="Times New Roman" w:eastAsia="Times New Roman" w:hAnsi="Times New Roman" w:cs="Times New Roman"/>
                <w:color w:val="FF0000"/>
                <w:sz w:val="24"/>
                <w:szCs w:val="24"/>
                <w:lang w:eastAsia="pt-BR"/>
              </w:rPr>
            </w:pPr>
            <w:r w:rsidRPr="00B75C56">
              <w:rPr>
                <w:rFonts w:ascii="Arial" w:eastAsia="Times New Roman" w:hAnsi="Arial" w:cs="Arial"/>
                <w:color w:val="FF0000"/>
                <w:sz w:val="24"/>
                <w:szCs w:val="24"/>
                <w:lang w:eastAsia="pt-BR"/>
              </w:rPr>
              <w:t> </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rsidR="00B75C56" w:rsidRPr="009A7012"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9A7012">
              <w:rPr>
                <w:rFonts w:ascii="Arial" w:eastAsia="Times New Roman" w:hAnsi="Arial" w:cs="Arial"/>
                <w:sz w:val="16"/>
                <w:szCs w:val="16"/>
                <w:lang w:eastAsia="pt-BR"/>
              </w:rPr>
              <w:t>0,00%</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rsidR="00B75C56" w:rsidRPr="009A7012"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9A7012">
              <w:rPr>
                <w:rFonts w:ascii="Arial" w:eastAsia="Times New Roman" w:hAnsi="Arial" w:cs="Arial"/>
                <w:sz w:val="16"/>
                <w:szCs w:val="16"/>
                <w:lang w:eastAsia="pt-BR"/>
              </w:rPr>
              <w:t>0,00%</w:t>
            </w:r>
          </w:p>
        </w:tc>
      </w:tr>
      <w:tr w:rsidR="00B75C56" w:rsidRPr="00B75C56" w:rsidTr="00B75C56">
        <w:trPr>
          <w:trHeight w:val="310"/>
        </w:trPr>
        <w:tc>
          <w:tcPr>
            <w:tcW w:w="0" w:type="auto"/>
            <w:vMerge/>
            <w:tcBorders>
              <w:top w:val="nil"/>
              <w:left w:val="single" w:sz="8" w:space="0" w:color="auto"/>
              <w:bottom w:val="single" w:sz="8" w:space="0" w:color="auto"/>
              <w:right w:val="single" w:sz="8" w:space="0" w:color="auto"/>
            </w:tcBorders>
            <w:vAlign w:val="center"/>
            <w:hideMark/>
          </w:tcPr>
          <w:p w:rsidR="00B75C56" w:rsidRPr="00DE2EA6" w:rsidRDefault="00B75C56" w:rsidP="00B75C56">
            <w:pPr>
              <w:spacing w:after="0" w:line="240" w:lineRule="auto"/>
              <w:rPr>
                <w:rFonts w:ascii="Times New Roman" w:eastAsia="Times New Roman" w:hAnsi="Times New Roman" w:cs="Times New Roman"/>
                <w:sz w:val="24"/>
                <w:szCs w:val="24"/>
                <w:lang w:eastAsia="pt-BR"/>
              </w:rPr>
            </w:pPr>
          </w:p>
        </w:tc>
        <w:tc>
          <w:tcPr>
            <w:tcW w:w="3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DE2EA6" w:rsidRDefault="00B75C56" w:rsidP="00B75C56">
            <w:pPr>
              <w:spacing w:before="100" w:beforeAutospacing="1" w:after="0" w:line="240" w:lineRule="auto"/>
              <w:rPr>
                <w:rFonts w:ascii="Times New Roman" w:eastAsia="Times New Roman" w:hAnsi="Times New Roman" w:cs="Times New Roman"/>
                <w:sz w:val="24"/>
                <w:szCs w:val="24"/>
                <w:lang w:eastAsia="pt-BR"/>
              </w:rPr>
            </w:pPr>
            <w:r w:rsidRPr="00DE2EA6">
              <w:rPr>
                <w:rFonts w:ascii="Arial" w:eastAsia="Times New Roman" w:hAnsi="Arial" w:cs="Arial"/>
                <w:sz w:val="16"/>
                <w:szCs w:val="16"/>
                <w:lang w:eastAsia="pt-BR"/>
              </w:rPr>
              <w:t xml:space="preserve">8º I b - FI de Índices </w:t>
            </w:r>
            <w:proofErr w:type="spellStart"/>
            <w:r w:rsidRPr="00DE2EA6">
              <w:rPr>
                <w:rFonts w:ascii="Arial" w:eastAsia="Times New Roman" w:hAnsi="Arial" w:cs="Arial"/>
                <w:sz w:val="16"/>
                <w:szCs w:val="16"/>
                <w:lang w:eastAsia="pt-BR"/>
              </w:rPr>
              <w:t>Ref</w:t>
            </w:r>
            <w:proofErr w:type="spellEnd"/>
            <w:r w:rsidRPr="00DE2EA6">
              <w:rPr>
                <w:rFonts w:ascii="Arial" w:eastAsia="Times New Roman" w:hAnsi="Arial" w:cs="Arial"/>
                <w:sz w:val="16"/>
                <w:szCs w:val="16"/>
                <w:lang w:eastAsia="pt-BR"/>
              </w:rPr>
              <w:t xml:space="preserve"> em Renda Variável</w:t>
            </w:r>
          </w:p>
        </w:tc>
        <w:tc>
          <w:tcPr>
            <w:tcW w:w="1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DE2EA6"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DE2EA6">
              <w:rPr>
                <w:rFonts w:ascii="Arial" w:eastAsia="Times New Roman" w:hAnsi="Arial" w:cs="Arial"/>
                <w:sz w:val="16"/>
                <w:szCs w:val="16"/>
                <w:lang w:eastAsia="pt-BR"/>
              </w:rPr>
              <w:t>30,00%</w:t>
            </w:r>
          </w:p>
        </w:tc>
        <w:tc>
          <w:tcPr>
            <w:tcW w:w="267" w:type="dxa"/>
            <w:tcBorders>
              <w:top w:val="nil"/>
              <w:left w:val="nil"/>
              <w:bottom w:val="nil"/>
              <w:right w:val="single" w:sz="8" w:space="0" w:color="auto"/>
            </w:tcBorders>
            <w:tcMar>
              <w:top w:w="0" w:type="dxa"/>
              <w:left w:w="108" w:type="dxa"/>
              <w:bottom w:w="0" w:type="dxa"/>
              <w:right w:w="108" w:type="dxa"/>
            </w:tcMar>
            <w:vAlign w:val="center"/>
            <w:hideMark/>
          </w:tcPr>
          <w:p w:rsidR="00B75C56" w:rsidRPr="00B75C56" w:rsidRDefault="00B75C56" w:rsidP="00B75C56">
            <w:pPr>
              <w:spacing w:before="100" w:beforeAutospacing="1" w:after="0" w:line="240" w:lineRule="auto"/>
              <w:jc w:val="center"/>
              <w:rPr>
                <w:rFonts w:ascii="Times New Roman" w:eastAsia="Times New Roman" w:hAnsi="Times New Roman" w:cs="Times New Roman"/>
                <w:color w:val="FF0000"/>
                <w:sz w:val="24"/>
                <w:szCs w:val="24"/>
                <w:lang w:eastAsia="pt-BR"/>
              </w:rPr>
            </w:pPr>
            <w:r w:rsidRPr="00B75C56">
              <w:rPr>
                <w:rFonts w:ascii="Arial" w:eastAsia="Times New Roman" w:hAnsi="Arial" w:cs="Arial"/>
                <w:color w:val="FF0000"/>
                <w:sz w:val="24"/>
                <w:szCs w:val="24"/>
                <w:lang w:eastAsia="pt-BR"/>
              </w:rPr>
              <w:t> </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rsidR="00B75C56" w:rsidRPr="009A7012"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9A7012">
              <w:rPr>
                <w:rFonts w:ascii="Arial" w:eastAsia="Times New Roman" w:hAnsi="Arial" w:cs="Arial"/>
                <w:sz w:val="16"/>
                <w:szCs w:val="16"/>
                <w:lang w:eastAsia="pt-BR"/>
              </w:rPr>
              <w:t>0,00%</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rsidR="00B75C56" w:rsidRPr="009A7012"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9A7012">
              <w:rPr>
                <w:rFonts w:ascii="Arial" w:eastAsia="Times New Roman" w:hAnsi="Arial" w:cs="Arial"/>
                <w:sz w:val="16"/>
                <w:szCs w:val="16"/>
                <w:lang w:eastAsia="pt-BR"/>
              </w:rPr>
              <w:t>0,00%</w:t>
            </w:r>
          </w:p>
        </w:tc>
      </w:tr>
      <w:tr w:rsidR="00B75C56" w:rsidRPr="00B75C56" w:rsidTr="00B75C56">
        <w:trPr>
          <w:trHeight w:val="337"/>
        </w:trPr>
        <w:tc>
          <w:tcPr>
            <w:tcW w:w="0" w:type="auto"/>
            <w:vMerge/>
            <w:tcBorders>
              <w:top w:val="nil"/>
              <w:left w:val="single" w:sz="8" w:space="0" w:color="auto"/>
              <w:bottom w:val="single" w:sz="8" w:space="0" w:color="auto"/>
              <w:right w:val="single" w:sz="8" w:space="0" w:color="auto"/>
            </w:tcBorders>
            <w:vAlign w:val="center"/>
            <w:hideMark/>
          </w:tcPr>
          <w:p w:rsidR="00B75C56" w:rsidRPr="00DE2EA6" w:rsidRDefault="00B75C56" w:rsidP="00B75C56">
            <w:pPr>
              <w:spacing w:after="0" w:line="240" w:lineRule="auto"/>
              <w:rPr>
                <w:rFonts w:ascii="Times New Roman" w:eastAsia="Times New Roman" w:hAnsi="Times New Roman" w:cs="Times New Roman"/>
                <w:sz w:val="24"/>
                <w:szCs w:val="24"/>
                <w:lang w:eastAsia="pt-BR"/>
              </w:rPr>
            </w:pPr>
          </w:p>
        </w:tc>
        <w:tc>
          <w:tcPr>
            <w:tcW w:w="3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DE2EA6" w:rsidRDefault="00B75C56" w:rsidP="00B75C56">
            <w:pPr>
              <w:spacing w:before="100" w:beforeAutospacing="1" w:after="0" w:line="240" w:lineRule="auto"/>
              <w:rPr>
                <w:rFonts w:ascii="Times New Roman" w:eastAsia="Times New Roman" w:hAnsi="Times New Roman" w:cs="Times New Roman"/>
                <w:sz w:val="24"/>
                <w:szCs w:val="24"/>
                <w:lang w:eastAsia="pt-BR"/>
              </w:rPr>
            </w:pPr>
            <w:r w:rsidRPr="00DE2EA6">
              <w:rPr>
                <w:rFonts w:ascii="Arial" w:eastAsia="Times New Roman" w:hAnsi="Arial" w:cs="Arial"/>
                <w:sz w:val="16"/>
                <w:szCs w:val="16"/>
                <w:lang w:eastAsia="pt-BR"/>
              </w:rPr>
              <w:t>8º II a - FI em Ações</w:t>
            </w:r>
          </w:p>
        </w:tc>
        <w:tc>
          <w:tcPr>
            <w:tcW w:w="1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DE2EA6"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DE2EA6">
              <w:rPr>
                <w:rFonts w:ascii="Arial" w:eastAsia="Times New Roman" w:hAnsi="Arial" w:cs="Arial"/>
                <w:sz w:val="16"/>
                <w:szCs w:val="16"/>
                <w:lang w:eastAsia="pt-BR"/>
              </w:rPr>
              <w:t>20,00%</w:t>
            </w:r>
          </w:p>
        </w:tc>
        <w:tc>
          <w:tcPr>
            <w:tcW w:w="267" w:type="dxa"/>
            <w:tcBorders>
              <w:top w:val="nil"/>
              <w:left w:val="nil"/>
              <w:bottom w:val="nil"/>
              <w:right w:val="single" w:sz="8" w:space="0" w:color="auto"/>
            </w:tcBorders>
            <w:tcMar>
              <w:top w:w="0" w:type="dxa"/>
              <w:left w:w="108" w:type="dxa"/>
              <w:bottom w:w="0" w:type="dxa"/>
              <w:right w:w="108" w:type="dxa"/>
            </w:tcMar>
            <w:vAlign w:val="center"/>
            <w:hideMark/>
          </w:tcPr>
          <w:p w:rsidR="00B75C56" w:rsidRPr="00B75C56" w:rsidRDefault="00B75C56" w:rsidP="00B75C56">
            <w:pPr>
              <w:spacing w:before="100" w:beforeAutospacing="1" w:after="0" w:line="240" w:lineRule="auto"/>
              <w:jc w:val="center"/>
              <w:rPr>
                <w:rFonts w:ascii="Times New Roman" w:eastAsia="Times New Roman" w:hAnsi="Times New Roman" w:cs="Times New Roman"/>
                <w:color w:val="FF0000"/>
                <w:sz w:val="24"/>
                <w:szCs w:val="24"/>
                <w:lang w:eastAsia="pt-BR"/>
              </w:rPr>
            </w:pPr>
            <w:r w:rsidRPr="00B75C56">
              <w:rPr>
                <w:rFonts w:ascii="Arial" w:eastAsia="Times New Roman" w:hAnsi="Arial" w:cs="Arial"/>
                <w:color w:val="FF0000"/>
                <w:sz w:val="24"/>
                <w:szCs w:val="24"/>
                <w:lang w:eastAsia="pt-BR"/>
              </w:rPr>
              <w:t> </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rsidR="00B75C56" w:rsidRPr="009A7012"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9A7012">
              <w:rPr>
                <w:rFonts w:ascii="Arial" w:eastAsia="Times New Roman" w:hAnsi="Arial" w:cs="Arial"/>
                <w:sz w:val="16"/>
                <w:szCs w:val="16"/>
                <w:lang w:eastAsia="pt-BR"/>
              </w:rPr>
              <w:t>18,45%</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rsidR="00B75C56" w:rsidRPr="009A7012"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9A7012">
              <w:rPr>
                <w:rFonts w:ascii="Arial" w:eastAsia="Times New Roman" w:hAnsi="Arial" w:cs="Arial"/>
                <w:sz w:val="16"/>
                <w:szCs w:val="16"/>
                <w:lang w:eastAsia="pt-BR"/>
              </w:rPr>
              <w:t>20,00%</w:t>
            </w:r>
          </w:p>
        </w:tc>
      </w:tr>
      <w:tr w:rsidR="00B75C56" w:rsidRPr="00B75C56" w:rsidTr="00B75C56">
        <w:trPr>
          <w:trHeight w:val="310"/>
        </w:trPr>
        <w:tc>
          <w:tcPr>
            <w:tcW w:w="0" w:type="auto"/>
            <w:vMerge/>
            <w:tcBorders>
              <w:top w:val="nil"/>
              <w:left w:val="single" w:sz="8" w:space="0" w:color="auto"/>
              <w:bottom w:val="single" w:sz="8" w:space="0" w:color="auto"/>
              <w:right w:val="single" w:sz="8" w:space="0" w:color="auto"/>
            </w:tcBorders>
            <w:vAlign w:val="center"/>
            <w:hideMark/>
          </w:tcPr>
          <w:p w:rsidR="00B75C56" w:rsidRPr="00DE2EA6" w:rsidRDefault="00B75C56" w:rsidP="00B75C56">
            <w:pPr>
              <w:spacing w:after="0" w:line="240" w:lineRule="auto"/>
              <w:rPr>
                <w:rFonts w:ascii="Times New Roman" w:eastAsia="Times New Roman" w:hAnsi="Times New Roman" w:cs="Times New Roman"/>
                <w:sz w:val="24"/>
                <w:szCs w:val="24"/>
                <w:lang w:eastAsia="pt-BR"/>
              </w:rPr>
            </w:pPr>
          </w:p>
        </w:tc>
        <w:tc>
          <w:tcPr>
            <w:tcW w:w="3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DE2EA6" w:rsidRDefault="00B75C56" w:rsidP="00B75C56">
            <w:pPr>
              <w:spacing w:before="100" w:beforeAutospacing="1" w:after="0" w:line="240" w:lineRule="auto"/>
              <w:rPr>
                <w:rFonts w:ascii="Times New Roman" w:eastAsia="Times New Roman" w:hAnsi="Times New Roman" w:cs="Times New Roman"/>
                <w:sz w:val="24"/>
                <w:szCs w:val="24"/>
                <w:lang w:eastAsia="pt-BR"/>
              </w:rPr>
            </w:pPr>
            <w:r w:rsidRPr="00DE2EA6">
              <w:rPr>
                <w:rFonts w:ascii="Arial" w:eastAsia="Times New Roman" w:hAnsi="Arial" w:cs="Arial"/>
                <w:sz w:val="16"/>
                <w:szCs w:val="16"/>
                <w:lang w:eastAsia="pt-BR"/>
              </w:rPr>
              <w:t>8º II b - FI em Índices de Ações</w:t>
            </w:r>
          </w:p>
        </w:tc>
        <w:tc>
          <w:tcPr>
            <w:tcW w:w="1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DE2EA6"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DE2EA6">
              <w:rPr>
                <w:rFonts w:ascii="Arial" w:eastAsia="Times New Roman" w:hAnsi="Arial" w:cs="Arial"/>
                <w:sz w:val="16"/>
                <w:szCs w:val="16"/>
                <w:lang w:eastAsia="pt-BR"/>
              </w:rPr>
              <w:t>20,00%</w:t>
            </w:r>
          </w:p>
        </w:tc>
        <w:tc>
          <w:tcPr>
            <w:tcW w:w="267" w:type="dxa"/>
            <w:tcBorders>
              <w:top w:val="nil"/>
              <w:left w:val="nil"/>
              <w:bottom w:val="nil"/>
              <w:right w:val="single" w:sz="8" w:space="0" w:color="auto"/>
            </w:tcBorders>
            <w:tcMar>
              <w:top w:w="0" w:type="dxa"/>
              <w:left w:w="108" w:type="dxa"/>
              <w:bottom w:w="0" w:type="dxa"/>
              <w:right w:w="108" w:type="dxa"/>
            </w:tcMar>
            <w:vAlign w:val="center"/>
            <w:hideMark/>
          </w:tcPr>
          <w:p w:rsidR="00B75C56" w:rsidRPr="00B75C56" w:rsidRDefault="00B75C56" w:rsidP="00B75C56">
            <w:pPr>
              <w:spacing w:before="100" w:beforeAutospacing="1" w:after="0" w:line="240" w:lineRule="auto"/>
              <w:jc w:val="center"/>
              <w:rPr>
                <w:rFonts w:ascii="Times New Roman" w:eastAsia="Times New Roman" w:hAnsi="Times New Roman" w:cs="Times New Roman"/>
                <w:color w:val="FF0000"/>
                <w:sz w:val="24"/>
                <w:szCs w:val="24"/>
                <w:lang w:eastAsia="pt-BR"/>
              </w:rPr>
            </w:pPr>
            <w:r w:rsidRPr="00B75C56">
              <w:rPr>
                <w:rFonts w:ascii="Arial" w:eastAsia="Times New Roman" w:hAnsi="Arial" w:cs="Arial"/>
                <w:color w:val="FF0000"/>
                <w:sz w:val="24"/>
                <w:szCs w:val="24"/>
                <w:lang w:eastAsia="pt-BR"/>
              </w:rPr>
              <w:t> </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rsidR="00B75C56" w:rsidRPr="009A7012"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9A7012">
              <w:rPr>
                <w:rFonts w:ascii="Arial" w:eastAsia="Times New Roman" w:hAnsi="Arial" w:cs="Arial"/>
                <w:sz w:val="16"/>
                <w:szCs w:val="16"/>
                <w:lang w:eastAsia="pt-BR"/>
              </w:rPr>
              <w:t>0,00%</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rsidR="00B75C56" w:rsidRPr="009A7012"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9A7012">
              <w:rPr>
                <w:rFonts w:ascii="Arial" w:eastAsia="Times New Roman" w:hAnsi="Arial" w:cs="Arial"/>
                <w:sz w:val="16"/>
                <w:szCs w:val="16"/>
                <w:lang w:eastAsia="pt-BR"/>
              </w:rPr>
              <w:t>0,00%</w:t>
            </w:r>
          </w:p>
        </w:tc>
      </w:tr>
      <w:tr w:rsidR="00B75C56" w:rsidRPr="00B75C56" w:rsidTr="00B75C56">
        <w:trPr>
          <w:trHeight w:val="337"/>
        </w:trPr>
        <w:tc>
          <w:tcPr>
            <w:tcW w:w="0" w:type="auto"/>
            <w:vMerge/>
            <w:tcBorders>
              <w:top w:val="nil"/>
              <w:left w:val="single" w:sz="8" w:space="0" w:color="auto"/>
              <w:bottom w:val="single" w:sz="8" w:space="0" w:color="auto"/>
              <w:right w:val="single" w:sz="8" w:space="0" w:color="auto"/>
            </w:tcBorders>
            <w:vAlign w:val="center"/>
            <w:hideMark/>
          </w:tcPr>
          <w:p w:rsidR="00B75C56" w:rsidRPr="00DE2EA6" w:rsidRDefault="00B75C56" w:rsidP="00B75C56">
            <w:pPr>
              <w:spacing w:after="0" w:line="240" w:lineRule="auto"/>
              <w:rPr>
                <w:rFonts w:ascii="Times New Roman" w:eastAsia="Times New Roman" w:hAnsi="Times New Roman" w:cs="Times New Roman"/>
                <w:sz w:val="24"/>
                <w:szCs w:val="24"/>
                <w:lang w:eastAsia="pt-BR"/>
              </w:rPr>
            </w:pPr>
          </w:p>
        </w:tc>
        <w:tc>
          <w:tcPr>
            <w:tcW w:w="3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DE2EA6" w:rsidRDefault="00B75C56" w:rsidP="00B75C56">
            <w:pPr>
              <w:spacing w:before="100" w:beforeAutospacing="1" w:after="0" w:line="240" w:lineRule="auto"/>
              <w:rPr>
                <w:rFonts w:ascii="Times New Roman" w:eastAsia="Times New Roman" w:hAnsi="Times New Roman" w:cs="Times New Roman"/>
                <w:sz w:val="24"/>
                <w:szCs w:val="24"/>
                <w:lang w:eastAsia="pt-BR"/>
              </w:rPr>
            </w:pPr>
            <w:r w:rsidRPr="00DE2EA6">
              <w:rPr>
                <w:rFonts w:ascii="Arial" w:eastAsia="Times New Roman" w:hAnsi="Arial" w:cs="Arial"/>
                <w:sz w:val="16"/>
                <w:szCs w:val="16"/>
                <w:lang w:eastAsia="pt-BR"/>
              </w:rPr>
              <w:t xml:space="preserve">FI </w:t>
            </w:r>
            <w:proofErr w:type="spellStart"/>
            <w:r w:rsidRPr="00DE2EA6">
              <w:rPr>
                <w:rFonts w:ascii="Arial" w:eastAsia="Times New Roman" w:hAnsi="Arial" w:cs="Arial"/>
                <w:sz w:val="16"/>
                <w:szCs w:val="16"/>
                <w:lang w:eastAsia="pt-BR"/>
              </w:rPr>
              <w:t>Multimercado</w:t>
            </w:r>
            <w:proofErr w:type="spellEnd"/>
            <w:r w:rsidRPr="00DE2EA6">
              <w:rPr>
                <w:rFonts w:ascii="Arial" w:eastAsia="Times New Roman" w:hAnsi="Arial" w:cs="Arial"/>
                <w:sz w:val="16"/>
                <w:szCs w:val="16"/>
                <w:lang w:eastAsia="pt-BR"/>
              </w:rPr>
              <w:t xml:space="preserve"> - Aberto - Art. 8º, III</w:t>
            </w:r>
          </w:p>
        </w:tc>
        <w:tc>
          <w:tcPr>
            <w:tcW w:w="1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DE2EA6"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DE2EA6">
              <w:rPr>
                <w:rFonts w:ascii="Arial" w:eastAsia="Times New Roman" w:hAnsi="Arial" w:cs="Arial"/>
                <w:sz w:val="16"/>
                <w:szCs w:val="16"/>
                <w:lang w:eastAsia="pt-BR"/>
              </w:rPr>
              <w:t>10,00%</w:t>
            </w:r>
          </w:p>
        </w:tc>
        <w:tc>
          <w:tcPr>
            <w:tcW w:w="267" w:type="dxa"/>
            <w:tcBorders>
              <w:top w:val="nil"/>
              <w:left w:val="nil"/>
              <w:bottom w:val="nil"/>
              <w:right w:val="single" w:sz="8" w:space="0" w:color="auto"/>
            </w:tcBorders>
            <w:tcMar>
              <w:top w:w="0" w:type="dxa"/>
              <w:left w:w="108" w:type="dxa"/>
              <w:bottom w:w="0" w:type="dxa"/>
              <w:right w:w="108" w:type="dxa"/>
            </w:tcMar>
            <w:vAlign w:val="center"/>
            <w:hideMark/>
          </w:tcPr>
          <w:p w:rsidR="00B75C56" w:rsidRPr="00B75C56" w:rsidRDefault="00B75C56" w:rsidP="00B75C56">
            <w:pPr>
              <w:spacing w:before="100" w:beforeAutospacing="1" w:after="0" w:line="240" w:lineRule="auto"/>
              <w:jc w:val="center"/>
              <w:rPr>
                <w:rFonts w:ascii="Times New Roman" w:eastAsia="Times New Roman" w:hAnsi="Times New Roman" w:cs="Times New Roman"/>
                <w:color w:val="FF0000"/>
                <w:sz w:val="24"/>
                <w:szCs w:val="24"/>
                <w:lang w:eastAsia="pt-BR"/>
              </w:rPr>
            </w:pPr>
            <w:r w:rsidRPr="00B75C56">
              <w:rPr>
                <w:rFonts w:ascii="Arial" w:eastAsia="Times New Roman" w:hAnsi="Arial" w:cs="Arial"/>
                <w:color w:val="FF0000"/>
                <w:sz w:val="24"/>
                <w:szCs w:val="24"/>
                <w:lang w:eastAsia="pt-BR"/>
              </w:rPr>
              <w:t> </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rsidR="00B75C56" w:rsidRPr="009A7012"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9A7012">
              <w:rPr>
                <w:rFonts w:ascii="Arial" w:eastAsia="Times New Roman" w:hAnsi="Arial" w:cs="Arial"/>
                <w:sz w:val="16"/>
                <w:szCs w:val="16"/>
                <w:lang w:eastAsia="pt-BR"/>
              </w:rPr>
              <w:t>3,07%</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rsidR="00B75C56" w:rsidRPr="009A7012"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9A7012">
              <w:rPr>
                <w:rFonts w:ascii="Arial" w:eastAsia="Times New Roman" w:hAnsi="Arial" w:cs="Arial"/>
                <w:sz w:val="16"/>
                <w:szCs w:val="16"/>
                <w:lang w:eastAsia="pt-BR"/>
              </w:rPr>
              <w:t>10,00%</w:t>
            </w:r>
          </w:p>
        </w:tc>
      </w:tr>
      <w:tr w:rsidR="00B75C56" w:rsidRPr="00B75C56" w:rsidTr="00B75C56">
        <w:trPr>
          <w:trHeight w:val="310"/>
        </w:trPr>
        <w:tc>
          <w:tcPr>
            <w:tcW w:w="0" w:type="auto"/>
            <w:vMerge/>
            <w:tcBorders>
              <w:top w:val="nil"/>
              <w:left w:val="single" w:sz="8" w:space="0" w:color="auto"/>
              <w:bottom w:val="single" w:sz="8" w:space="0" w:color="auto"/>
              <w:right w:val="single" w:sz="8" w:space="0" w:color="auto"/>
            </w:tcBorders>
            <w:vAlign w:val="center"/>
            <w:hideMark/>
          </w:tcPr>
          <w:p w:rsidR="00B75C56" w:rsidRPr="00DE2EA6" w:rsidRDefault="00B75C56" w:rsidP="00B75C56">
            <w:pPr>
              <w:spacing w:after="0" w:line="240" w:lineRule="auto"/>
              <w:rPr>
                <w:rFonts w:ascii="Times New Roman" w:eastAsia="Times New Roman" w:hAnsi="Times New Roman" w:cs="Times New Roman"/>
                <w:sz w:val="24"/>
                <w:szCs w:val="24"/>
                <w:lang w:eastAsia="pt-BR"/>
              </w:rPr>
            </w:pPr>
          </w:p>
        </w:tc>
        <w:tc>
          <w:tcPr>
            <w:tcW w:w="3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DE2EA6" w:rsidRDefault="00B75C56" w:rsidP="00B75C56">
            <w:pPr>
              <w:spacing w:before="100" w:beforeAutospacing="1" w:after="0" w:line="240" w:lineRule="auto"/>
              <w:rPr>
                <w:rFonts w:ascii="Times New Roman" w:eastAsia="Times New Roman" w:hAnsi="Times New Roman" w:cs="Times New Roman"/>
                <w:sz w:val="24"/>
                <w:szCs w:val="24"/>
                <w:lang w:eastAsia="pt-BR"/>
              </w:rPr>
            </w:pPr>
            <w:r w:rsidRPr="00DE2EA6">
              <w:rPr>
                <w:rFonts w:ascii="Arial" w:eastAsia="Times New Roman" w:hAnsi="Arial" w:cs="Arial"/>
                <w:sz w:val="16"/>
                <w:szCs w:val="16"/>
                <w:lang w:eastAsia="pt-BR"/>
              </w:rPr>
              <w:t>8º IV a - FI em Participações</w:t>
            </w:r>
          </w:p>
        </w:tc>
        <w:tc>
          <w:tcPr>
            <w:tcW w:w="1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DE2EA6"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DE2EA6">
              <w:rPr>
                <w:rFonts w:ascii="Arial" w:eastAsia="Times New Roman" w:hAnsi="Arial" w:cs="Arial"/>
                <w:sz w:val="16"/>
                <w:szCs w:val="16"/>
                <w:lang w:eastAsia="pt-BR"/>
              </w:rPr>
              <w:t>5,00%</w:t>
            </w:r>
          </w:p>
        </w:tc>
        <w:tc>
          <w:tcPr>
            <w:tcW w:w="267" w:type="dxa"/>
            <w:tcBorders>
              <w:top w:val="nil"/>
              <w:left w:val="nil"/>
              <w:bottom w:val="nil"/>
              <w:right w:val="single" w:sz="8" w:space="0" w:color="auto"/>
            </w:tcBorders>
            <w:tcMar>
              <w:top w:w="0" w:type="dxa"/>
              <w:left w:w="108" w:type="dxa"/>
              <w:bottom w:w="0" w:type="dxa"/>
              <w:right w:w="108" w:type="dxa"/>
            </w:tcMar>
            <w:vAlign w:val="center"/>
            <w:hideMark/>
          </w:tcPr>
          <w:p w:rsidR="00B75C56" w:rsidRPr="00B75C56" w:rsidRDefault="00B75C56" w:rsidP="00B75C56">
            <w:pPr>
              <w:spacing w:before="100" w:beforeAutospacing="1" w:after="0" w:line="240" w:lineRule="auto"/>
              <w:jc w:val="center"/>
              <w:rPr>
                <w:rFonts w:ascii="Times New Roman" w:eastAsia="Times New Roman" w:hAnsi="Times New Roman" w:cs="Times New Roman"/>
                <w:color w:val="FF0000"/>
                <w:sz w:val="24"/>
                <w:szCs w:val="24"/>
                <w:lang w:eastAsia="pt-BR"/>
              </w:rPr>
            </w:pPr>
            <w:r w:rsidRPr="00B75C56">
              <w:rPr>
                <w:rFonts w:ascii="Arial" w:eastAsia="Times New Roman" w:hAnsi="Arial" w:cs="Arial"/>
                <w:color w:val="FF0000"/>
                <w:sz w:val="24"/>
                <w:szCs w:val="24"/>
                <w:lang w:eastAsia="pt-BR"/>
              </w:rPr>
              <w:t> </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rsidR="00B75C56" w:rsidRPr="009A7012"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9A7012">
              <w:rPr>
                <w:rFonts w:ascii="Arial" w:eastAsia="Times New Roman" w:hAnsi="Arial" w:cs="Arial"/>
                <w:sz w:val="16"/>
                <w:szCs w:val="16"/>
                <w:lang w:eastAsia="pt-BR"/>
              </w:rPr>
              <w:t>0,00%</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rsidR="00B75C56" w:rsidRPr="009A7012"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9A7012">
              <w:rPr>
                <w:rFonts w:ascii="Arial" w:eastAsia="Times New Roman" w:hAnsi="Arial" w:cs="Arial"/>
                <w:sz w:val="16"/>
                <w:szCs w:val="16"/>
                <w:lang w:eastAsia="pt-BR"/>
              </w:rPr>
              <w:t>0,00%</w:t>
            </w:r>
          </w:p>
        </w:tc>
      </w:tr>
      <w:tr w:rsidR="00B75C56" w:rsidRPr="00B75C56" w:rsidTr="00B75C56">
        <w:trPr>
          <w:trHeight w:val="337"/>
        </w:trPr>
        <w:tc>
          <w:tcPr>
            <w:tcW w:w="0" w:type="auto"/>
            <w:vMerge/>
            <w:tcBorders>
              <w:top w:val="nil"/>
              <w:left w:val="single" w:sz="8" w:space="0" w:color="auto"/>
              <w:bottom w:val="single" w:sz="8" w:space="0" w:color="auto"/>
              <w:right w:val="single" w:sz="8" w:space="0" w:color="auto"/>
            </w:tcBorders>
            <w:vAlign w:val="center"/>
            <w:hideMark/>
          </w:tcPr>
          <w:p w:rsidR="00B75C56" w:rsidRPr="00DE2EA6" w:rsidRDefault="00B75C56" w:rsidP="00B75C56">
            <w:pPr>
              <w:spacing w:after="0" w:line="240" w:lineRule="auto"/>
              <w:rPr>
                <w:rFonts w:ascii="Times New Roman" w:eastAsia="Times New Roman" w:hAnsi="Times New Roman" w:cs="Times New Roman"/>
                <w:sz w:val="24"/>
                <w:szCs w:val="24"/>
                <w:lang w:eastAsia="pt-BR"/>
              </w:rPr>
            </w:pPr>
          </w:p>
        </w:tc>
        <w:tc>
          <w:tcPr>
            <w:tcW w:w="3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DE2EA6" w:rsidRDefault="00B75C56" w:rsidP="00B75C56">
            <w:pPr>
              <w:spacing w:before="100" w:beforeAutospacing="1" w:after="0" w:line="240" w:lineRule="auto"/>
              <w:rPr>
                <w:rFonts w:ascii="Times New Roman" w:eastAsia="Times New Roman" w:hAnsi="Times New Roman" w:cs="Times New Roman"/>
                <w:sz w:val="24"/>
                <w:szCs w:val="24"/>
                <w:lang w:eastAsia="pt-BR"/>
              </w:rPr>
            </w:pPr>
            <w:r w:rsidRPr="00DE2EA6">
              <w:rPr>
                <w:rFonts w:ascii="Arial" w:eastAsia="Times New Roman" w:hAnsi="Arial" w:cs="Arial"/>
                <w:sz w:val="16"/>
                <w:szCs w:val="16"/>
                <w:lang w:eastAsia="pt-BR"/>
              </w:rPr>
              <w:t>8º IV b - FI Imobiliário</w:t>
            </w:r>
          </w:p>
        </w:tc>
        <w:tc>
          <w:tcPr>
            <w:tcW w:w="1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DE2EA6"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DE2EA6">
              <w:rPr>
                <w:rFonts w:ascii="Arial" w:eastAsia="Times New Roman" w:hAnsi="Arial" w:cs="Arial"/>
                <w:sz w:val="16"/>
                <w:szCs w:val="16"/>
                <w:lang w:eastAsia="pt-BR"/>
              </w:rPr>
              <w:t>5,00%</w:t>
            </w:r>
          </w:p>
        </w:tc>
        <w:tc>
          <w:tcPr>
            <w:tcW w:w="267" w:type="dxa"/>
            <w:tcBorders>
              <w:top w:val="nil"/>
              <w:left w:val="nil"/>
              <w:bottom w:val="nil"/>
              <w:right w:val="single" w:sz="8" w:space="0" w:color="auto"/>
            </w:tcBorders>
            <w:tcMar>
              <w:top w:w="0" w:type="dxa"/>
              <w:left w:w="108" w:type="dxa"/>
              <w:bottom w:w="0" w:type="dxa"/>
              <w:right w:w="108" w:type="dxa"/>
            </w:tcMar>
            <w:vAlign w:val="center"/>
            <w:hideMark/>
          </w:tcPr>
          <w:p w:rsidR="00B75C56" w:rsidRPr="00B75C56" w:rsidRDefault="00B75C56" w:rsidP="00B75C56">
            <w:pPr>
              <w:spacing w:before="100" w:beforeAutospacing="1" w:after="0" w:line="240" w:lineRule="auto"/>
              <w:jc w:val="center"/>
              <w:rPr>
                <w:rFonts w:ascii="Times New Roman" w:eastAsia="Times New Roman" w:hAnsi="Times New Roman" w:cs="Times New Roman"/>
                <w:color w:val="FF0000"/>
                <w:sz w:val="24"/>
                <w:szCs w:val="24"/>
                <w:lang w:eastAsia="pt-BR"/>
              </w:rPr>
            </w:pPr>
            <w:r w:rsidRPr="00B75C56">
              <w:rPr>
                <w:rFonts w:ascii="Arial" w:eastAsia="Times New Roman" w:hAnsi="Arial" w:cs="Arial"/>
                <w:color w:val="FF0000"/>
                <w:sz w:val="24"/>
                <w:szCs w:val="24"/>
                <w:lang w:eastAsia="pt-BR"/>
              </w:rPr>
              <w:t> </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rsidR="00B75C56" w:rsidRPr="009A7012"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9A7012">
              <w:rPr>
                <w:rFonts w:ascii="Arial" w:eastAsia="Times New Roman" w:hAnsi="Arial" w:cs="Arial"/>
                <w:sz w:val="16"/>
                <w:szCs w:val="16"/>
                <w:lang w:eastAsia="pt-BR"/>
              </w:rPr>
              <w:t>0,00%</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rsidR="00B75C56" w:rsidRPr="009A7012"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9A7012">
              <w:rPr>
                <w:rFonts w:ascii="Arial" w:eastAsia="Times New Roman" w:hAnsi="Arial" w:cs="Arial"/>
                <w:sz w:val="16"/>
                <w:szCs w:val="16"/>
                <w:lang w:eastAsia="pt-BR"/>
              </w:rPr>
              <w:t>0,00%</w:t>
            </w:r>
          </w:p>
        </w:tc>
      </w:tr>
      <w:tr w:rsidR="00B75C56" w:rsidRPr="00B75C56" w:rsidTr="00B75C56">
        <w:trPr>
          <w:trHeight w:val="310"/>
        </w:trPr>
        <w:tc>
          <w:tcPr>
            <w:tcW w:w="0" w:type="auto"/>
            <w:vMerge/>
            <w:tcBorders>
              <w:top w:val="nil"/>
              <w:left w:val="single" w:sz="8" w:space="0" w:color="auto"/>
              <w:bottom w:val="single" w:sz="8" w:space="0" w:color="auto"/>
              <w:right w:val="single" w:sz="8" w:space="0" w:color="auto"/>
            </w:tcBorders>
            <w:vAlign w:val="center"/>
            <w:hideMark/>
          </w:tcPr>
          <w:p w:rsidR="00B75C56" w:rsidRPr="00DE2EA6" w:rsidRDefault="00B75C56" w:rsidP="00B75C56">
            <w:pPr>
              <w:spacing w:after="0" w:line="240" w:lineRule="auto"/>
              <w:rPr>
                <w:rFonts w:ascii="Times New Roman" w:eastAsia="Times New Roman" w:hAnsi="Times New Roman" w:cs="Times New Roman"/>
                <w:sz w:val="24"/>
                <w:szCs w:val="24"/>
                <w:lang w:eastAsia="pt-BR"/>
              </w:rPr>
            </w:pPr>
          </w:p>
        </w:tc>
        <w:tc>
          <w:tcPr>
            <w:tcW w:w="3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DE2EA6" w:rsidRDefault="00B75C56" w:rsidP="00B75C56">
            <w:pPr>
              <w:spacing w:before="100" w:beforeAutospacing="1" w:after="0" w:line="240" w:lineRule="auto"/>
              <w:rPr>
                <w:rFonts w:ascii="Times New Roman" w:eastAsia="Times New Roman" w:hAnsi="Times New Roman" w:cs="Times New Roman"/>
                <w:sz w:val="24"/>
                <w:szCs w:val="24"/>
                <w:lang w:eastAsia="pt-BR"/>
              </w:rPr>
            </w:pPr>
            <w:r w:rsidRPr="00DE2EA6">
              <w:rPr>
                <w:rFonts w:ascii="Arial" w:eastAsia="Times New Roman" w:hAnsi="Arial" w:cs="Arial"/>
                <w:sz w:val="16"/>
                <w:szCs w:val="16"/>
                <w:lang w:eastAsia="pt-BR"/>
              </w:rPr>
              <w:t>8º IV c - Ações - Mercado de Acesso</w:t>
            </w:r>
          </w:p>
        </w:tc>
        <w:tc>
          <w:tcPr>
            <w:tcW w:w="1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DE2EA6"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DE2EA6">
              <w:rPr>
                <w:rFonts w:ascii="Arial" w:eastAsia="Times New Roman" w:hAnsi="Arial" w:cs="Arial"/>
                <w:sz w:val="16"/>
                <w:szCs w:val="16"/>
                <w:lang w:eastAsia="pt-BR"/>
              </w:rPr>
              <w:t>5,00%</w:t>
            </w:r>
          </w:p>
        </w:tc>
        <w:tc>
          <w:tcPr>
            <w:tcW w:w="267" w:type="dxa"/>
            <w:tcBorders>
              <w:top w:val="nil"/>
              <w:left w:val="nil"/>
              <w:bottom w:val="nil"/>
              <w:right w:val="single" w:sz="8" w:space="0" w:color="auto"/>
            </w:tcBorders>
            <w:tcMar>
              <w:top w:w="0" w:type="dxa"/>
              <w:left w:w="108" w:type="dxa"/>
              <w:bottom w:w="0" w:type="dxa"/>
              <w:right w:w="108" w:type="dxa"/>
            </w:tcMar>
            <w:vAlign w:val="center"/>
            <w:hideMark/>
          </w:tcPr>
          <w:p w:rsidR="00B75C56" w:rsidRPr="00B75C56" w:rsidRDefault="00B75C56" w:rsidP="00B75C56">
            <w:pPr>
              <w:spacing w:before="100" w:beforeAutospacing="1" w:after="0" w:line="240" w:lineRule="auto"/>
              <w:jc w:val="center"/>
              <w:rPr>
                <w:rFonts w:ascii="Times New Roman" w:eastAsia="Times New Roman" w:hAnsi="Times New Roman" w:cs="Times New Roman"/>
                <w:color w:val="FF0000"/>
                <w:sz w:val="24"/>
                <w:szCs w:val="24"/>
                <w:lang w:eastAsia="pt-BR"/>
              </w:rPr>
            </w:pPr>
            <w:r w:rsidRPr="00B75C56">
              <w:rPr>
                <w:rFonts w:ascii="Arial" w:eastAsia="Times New Roman" w:hAnsi="Arial" w:cs="Arial"/>
                <w:color w:val="FF0000"/>
                <w:sz w:val="24"/>
                <w:szCs w:val="24"/>
                <w:lang w:eastAsia="pt-BR"/>
              </w:rPr>
              <w:t> </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rsidR="00B75C56" w:rsidRPr="009A7012"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9A7012">
              <w:rPr>
                <w:rFonts w:ascii="Arial" w:eastAsia="Times New Roman" w:hAnsi="Arial" w:cs="Arial"/>
                <w:sz w:val="16"/>
                <w:szCs w:val="16"/>
                <w:lang w:eastAsia="pt-BR"/>
              </w:rPr>
              <w:t>0,00%</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rsidR="00B75C56" w:rsidRPr="009A7012"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9A7012">
              <w:rPr>
                <w:rFonts w:ascii="Arial" w:eastAsia="Times New Roman" w:hAnsi="Arial" w:cs="Arial"/>
                <w:sz w:val="16"/>
                <w:szCs w:val="16"/>
                <w:lang w:eastAsia="pt-BR"/>
              </w:rPr>
              <w:t>0,00%</w:t>
            </w:r>
          </w:p>
        </w:tc>
      </w:tr>
      <w:tr w:rsidR="00B75C56" w:rsidRPr="00B75C56" w:rsidTr="00B75C56">
        <w:trPr>
          <w:trHeight w:val="337"/>
        </w:trPr>
        <w:tc>
          <w:tcPr>
            <w:tcW w:w="1143" w:type="dxa"/>
            <w:tcBorders>
              <w:top w:val="nil"/>
              <w:left w:val="nil"/>
              <w:bottom w:val="nil"/>
              <w:right w:val="single" w:sz="8" w:space="0" w:color="auto"/>
            </w:tcBorders>
            <w:tcMar>
              <w:top w:w="0" w:type="dxa"/>
              <w:left w:w="108" w:type="dxa"/>
              <w:bottom w:w="0" w:type="dxa"/>
              <w:right w:w="108" w:type="dxa"/>
            </w:tcMar>
            <w:vAlign w:val="center"/>
            <w:hideMark/>
          </w:tcPr>
          <w:p w:rsidR="00B75C56" w:rsidRPr="00DE2EA6"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DE2EA6">
              <w:rPr>
                <w:rFonts w:ascii="Arial" w:eastAsia="Times New Roman" w:hAnsi="Arial" w:cs="Arial"/>
                <w:b/>
                <w:bCs/>
                <w:sz w:val="16"/>
                <w:szCs w:val="16"/>
                <w:lang w:eastAsia="pt-BR"/>
              </w:rPr>
              <w:t> </w:t>
            </w:r>
          </w:p>
        </w:tc>
        <w:tc>
          <w:tcPr>
            <w:tcW w:w="386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B75C56" w:rsidRPr="00DE2EA6" w:rsidRDefault="00B75C56" w:rsidP="00B75C56">
            <w:pPr>
              <w:spacing w:before="100" w:beforeAutospacing="1" w:after="0" w:line="240" w:lineRule="auto"/>
              <w:rPr>
                <w:rFonts w:ascii="Times New Roman" w:eastAsia="Times New Roman" w:hAnsi="Times New Roman" w:cs="Times New Roman"/>
                <w:sz w:val="24"/>
                <w:szCs w:val="24"/>
                <w:lang w:eastAsia="pt-BR"/>
              </w:rPr>
            </w:pPr>
            <w:r w:rsidRPr="00DE2EA6">
              <w:rPr>
                <w:rFonts w:ascii="Arial" w:eastAsia="Times New Roman" w:hAnsi="Arial" w:cs="Arial"/>
                <w:b/>
                <w:bCs/>
                <w:sz w:val="16"/>
                <w:szCs w:val="16"/>
                <w:lang w:eastAsia="pt-BR"/>
              </w:rPr>
              <w:t>Limite de Renda Variável - Art. 8º, § 1°</w:t>
            </w:r>
          </w:p>
        </w:tc>
        <w:tc>
          <w:tcPr>
            <w:tcW w:w="151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B75C56" w:rsidRPr="00DE2EA6"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DE2EA6">
              <w:rPr>
                <w:rFonts w:ascii="Arial" w:eastAsia="Times New Roman" w:hAnsi="Arial" w:cs="Arial"/>
                <w:b/>
                <w:bCs/>
                <w:sz w:val="16"/>
                <w:szCs w:val="16"/>
                <w:lang w:eastAsia="pt-BR"/>
              </w:rPr>
              <w:t>30,00%</w:t>
            </w:r>
          </w:p>
        </w:tc>
        <w:tc>
          <w:tcPr>
            <w:tcW w:w="267" w:type="dxa"/>
            <w:tcBorders>
              <w:top w:val="nil"/>
              <w:left w:val="nil"/>
              <w:bottom w:val="nil"/>
              <w:right w:val="single" w:sz="8" w:space="0" w:color="auto"/>
            </w:tcBorders>
            <w:tcMar>
              <w:top w:w="0" w:type="dxa"/>
              <w:left w:w="108" w:type="dxa"/>
              <w:bottom w:w="0" w:type="dxa"/>
              <w:right w:w="108" w:type="dxa"/>
            </w:tcMar>
            <w:vAlign w:val="center"/>
            <w:hideMark/>
          </w:tcPr>
          <w:p w:rsidR="00B75C56" w:rsidRPr="00B75C56" w:rsidRDefault="00B75C56" w:rsidP="00B75C56">
            <w:pPr>
              <w:spacing w:before="100" w:beforeAutospacing="1" w:after="0" w:line="240" w:lineRule="auto"/>
              <w:jc w:val="center"/>
              <w:rPr>
                <w:rFonts w:ascii="Times New Roman" w:eastAsia="Times New Roman" w:hAnsi="Times New Roman" w:cs="Times New Roman"/>
                <w:color w:val="FF0000"/>
                <w:sz w:val="24"/>
                <w:szCs w:val="24"/>
                <w:lang w:eastAsia="pt-BR"/>
              </w:rPr>
            </w:pPr>
            <w:r w:rsidRPr="00B75C56">
              <w:rPr>
                <w:rFonts w:ascii="Arial" w:eastAsia="Times New Roman" w:hAnsi="Arial" w:cs="Arial"/>
                <w:color w:val="FF0000"/>
                <w:sz w:val="24"/>
                <w:szCs w:val="24"/>
                <w:lang w:eastAsia="pt-BR"/>
              </w:rPr>
              <w:t> </w:t>
            </w:r>
          </w:p>
        </w:tc>
        <w:tc>
          <w:tcPr>
            <w:tcW w:w="151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B75C56" w:rsidRPr="009A7012"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9A7012">
              <w:rPr>
                <w:rFonts w:ascii="Arial" w:eastAsia="Times New Roman" w:hAnsi="Arial" w:cs="Arial"/>
                <w:sz w:val="16"/>
                <w:szCs w:val="16"/>
                <w:lang w:eastAsia="pt-BR"/>
              </w:rPr>
              <w:t>21,52%</w:t>
            </w:r>
          </w:p>
        </w:tc>
        <w:tc>
          <w:tcPr>
            <w:tcW w:w="151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B75C56" w:rsidRPr="009A7012"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9A7012">
              <w:rPr>
                <w:rFonts w:ascii="Arial" w:eastAsia="Times New Roman" w:hAnsi="Arial" w:cs="Arial"/>
                <w:sz w:val="16"/>
                <w:szCs w:val="16"/>
                <w:lang w:eastAsia="pt-BR"/>
              </w:rPr>
              <w:t>30,00%</w:t>
            </w:r>
          </w:p>
        </w:tc>
      </w:tr>
      <w:tr w:rsidR="00B75C56" w:rsidRPr="00B75C56" w:rsidTr="00B75C56">
        <w:trPr>
          <w:trHeight w:val="310"/>
        </w:trPr>
        <w:tc>
          <w:tcPr>
            <w:tcW w:w="1143" w:type="dxa"/>
            <w:tcBorders>
              <w:top w:val="nil"/>
              <w:left w:val="nil"/>
              <w:bottom w:val="single" w:sz="8" w:space="0" w:color="auto"/>
              <w:right w:val="nil"/>
            </w:tcBorders>
            <w:tcMar>
              <w:top w:w="0" w:type="dxa"/>
              <w:left w:w="108" w:type="dxa"/>
              <w:bottom w:w="0" w:type="dxa"/>
              <w:right w:w="108" w:type="dxa"/>
            </w:tcMar>
            <w:vAlign w:val="center"/>
            <w:hideMark/>
          </w:tcPr>
          <w:p w:rsidR="00B75C56" w:rsidRPr="00DE2EA6"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DE2EA6">
              <w:rPr>
                <w:rFonts w:ascii="Arial" w:eastAsia="Times New Roman" w:hAnsi="Arial" w:cs="Arial"/>
                <w:b/>
                <w:bCs/>
                <w:sz w:val="16"/>
                <w:szCs w:val="16"/>
                <w:lang w:eastAsia="pt-BR"/>
              </w:rPr>
              <w:t> </w:t>
            </w:r>
          </w:p>
        </w:tc>
        <w:tc>
          <w:tcPr>
            <w:tcW w:w="3868" w:type="dxa"/>
            <w:tcBorders>
              <w:top w:val="nil"/>
              <w:left w:val="nil"/>
              <w:bottom w:val="single" w:sz="8" w:space="0" w:color="auto"/>
              <w:right w:val="nil"/>
            </w:tcBorders>
            <w:tcMar>
              <w:top w:w="0" w:type="dxa"/>
              <w:left w:w="108" w:type="dxa"/>
              <w:bottom w:w="0" w:type="dxa"/>
              <w:right w:w="108" w:type="dxa"/>
            </w:tcMar>
            <w:vAlign w:val="center"/>
            <w:hideMark/>
          </w:tcPr>
          <w:p w:rsidR="00B75C56" w:rsidRPr="00DE2EA6" w:rsidRDefault="00B75C56" w:rsidP="00B75C56">
            <w:pPr>
              <w:spacing w:before="100" w:beforeAutospacing="1" w:after="0" w:line="240" w:lineRule="auto"/>
              <w:rPr>
                <w:rFonts w:ascii="Times New Roman" w:eastAsia="Times New Roman" w:hAnsi="Times New Roman" w:cs="Times New Roman"/>
                <w:sz w:val="24"/>
                <w:szCs w:val="24"/>
                <w:lang w:eastAsia="pt-BR"/>
              </w:rPr>
            </w:pPr>
            <w:r w:rsidRPr="00DE2EA6">
              <w:rPr>
                <w:rFonts w:ascii="Arial" w:eastAsia="Times New Roman" w:hAnsi="Arial" w:cs="Arial"/>
                <w:b/>
                <w:bCs/>
                <w:sz w:val="24"/>
                <w:szCs w:val="24"/>
                <w:lang w:eastAsia="pt-BR"/>
              </w:rPr>
              <w:t> </w:t>
            </w:r>
          </w:p>
        </w:tc>
        <w:tc>
          <w:tcPr>
            <w:tcW w:w="1514" w:type="dxa"/>
            <w:tcBorders>
              <w:top w:val="nil"/>
              <w:left w:val="nil"/>
              <w:bottom w:val="single" w:sz="8" w:space="0" w:color="auto"/>
              <w:right w:val="nil"/>
            </w:tcBorders>
            <w:tcMar>
              <w:top w:w="0" w:type="dxa"/>
              <w:left w:w="108" w:type="dxa"/>
              <w:bottom w:w="0" w:type="dxa"/>
              <w:right w:w="108" w:type="dxa"/>
            </w:tcMar>
            <w:vAlign w:val="center"/>
            <w:hideMark/>
          </w:tcPr>
          <w:p w:rsidR="00B75C56" w:rsidRPr="00DE2EA6"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DE2EA6">
              <w:rPr>
                <w:rFonts w:ascii="Arial" w:eastAsia="Times New Roman" w:hAnsi="Arial" w:cs="Arial"/>
                <w:b/>
                <w:bCs/>
                <w:sz w:val="24"/>
                <w:szCs w:val="24"/>
                <w:lang w:eastAsia="pt-BR"/>
              </w:rPr>
              <w:t> </w:t>
            </w:r>
          </w:p>
        </w:tc>
        <w:tc>
          <w:tcPr>
            <w:tcW w:w="267" w:type="dxa"/>
            <w:tcBorders>
              <w:top w:val="nil"/>
              <w:left w:val="nil"/>
              <w:bottom w:val="nil"/>
              <w:right w:val="nil"/>
            </w:tcBorders>
            <w:tcMar>
              <w:top w:w="0" w:type="dxa"/>
              <w:left w:w="108" w:type="dxa"/>
              <w:bottom w:w="0" w:type="dxa"/>
              <w:right w:w="108" w:type="dxa"/>
            </w:tcMar>
            <w:vAlign w:val="center"/>
            <w:hideMark/>
          </w:tcPr>
          <w:p w:rsidR="00B75C56" w:rsidRPr="00B75C56" w:rsidRDefault="00B75C56" w:rsidP="00B75C56">
            <w:pPr>
              <w:spacing w:before="100" w:beforeAutospacing="1" w:after="0" w:line="240" w:lineRule="auto"/>
              <w:jc w:val="center"/>
              <w:rPr>
                <w:rFonts w:ascii="Times New Roman" w:eastAsia="Times New Roman" w:hAnsi="Times New Roman" w:cs="Times New Roman"/>
                <w:color w:val="FF0000"/>
                <w:sz w:val="24"/>
                <w:szCs w:val="24"/>
                <w:lang w:eastAsia="pt-BR"/>
              </w:rPr>
            </w:pPr>
            <w:r w:rsidRPr="00B75C56">
              <w:rPr>
                <w:rFonts w:ascii="Arial" w:eastAsia="Times New Roman" w:hAnsi="Arial" w:cs="Arial"/>
                <w:color w:val="FF0000"/>
                <w:sz w:val="24"/>
                <w:szCs w:val="24"/>
                <w:lang w:eastAsia="pt-BR"/>
              </w:rPr>
              <w:t> </w:t>
            </w:r>
          </w:p>
        </w:tc>
        <w:tc>
          <w:tcPr>
            <w:tcW w:w="1515" w:type="dxa"/>
            <w:tcBorders>
              <w:top w:val="nil"/>
              <w:left w:val="nil"/>
              <w:bottom w:val="single" w:sz="8" w:space="0" w:color="auto"/>
              <w:right w:val="nil"/>
            </w:tcBorders>
            <w:tcMar>
              <w:top w:w="0" w:type="dxa"/>
              <w:left w:w="108" w:type="dxa"/>
              <w:bottom w:w="0" w:type="dxa"/>
              <w:right w:w="108" w:type="dxa"/>
            </w:tcMar>
            <w:vAlign w:val="center"/>
            <w:hideMark/>
          </w:tcPr>
          <w:p w:rsidR="00B75C56" w:rsidRPr="00B75C56" w:rsidRDefault="00B75C56" w:rsidP="00B75C56">
            <w:pPr>
              <w:spacing w:before="100" w:beforeAutospacing="1" w:after="0" w:line="240" w:lineRule="auto"/>
              <w:jc w:val="center"/>
              <w:rPr>
                <w:rFonts w:ascii="Times New Roman" w:eastAsia="Times New Roman" w:hAnsi="Times New Roman" w:cs="Times New Roman"/>
                <w:color w:val="FF0000"/>
                <w:sz w:val="24"/>
                <w:szCs w:val="24"/>
                <w:lang w:eastAsia="pt-BR"/>
              </w:rPr>
            </w:pPr>
            <w:r w:rsidRPr="00B75C56">
              <w:rPr>
                <w:rFonts w:ascii="Arial" w:eastAsia="Times New Roman" w:hAnsi="Arial" w:cs="Arial"/>
                <w:color w:val="FF0000"/>
                <w:sz w:val="24"/>
                <w:szCs w:val="24"/>
                <w:lang w:eastAsia="pt-BR"/>
              </w:rPr>
              <w:t> </w:t>
            </w:r>
          </w:p>
        </w:tc>
        <w:tc>
          <w:tcPr>
            <w:tcW w:w="1515" w:type="dxa"/>
            <w:tcBorders>
              <w:top w:val="nil"/>
              <w:left w:val="nil"/>
              <w:bottom w:val="single" w:sz="8" w:space="0" w:color="auto"/>
              <w:right w:val="nil"/>
            </w:tcBorders>
            <w:tcMar>
              <w:top w:w="0" w:type="dxa"/>
              <w:left w:w="108" w:type="dxa"/>
              <w:bottom w:w="0" w:type="dxa"/>
              <w:right w:w="108" w:type="dxa"/>
            </w:tcMar>
            <w:vAlign w:val="center"/>
            <w:hideMark/>
          </w:tcPr>
          <w:p w:rsidR="00B75C56" w:rsidRPr="00B75C56" w:rsidRDefault="00B75C56" w:rsidP="00B75C56">
            <w:pPr>
              <w:spacing w:before="100" w:beforeAutospacing="1" w:after="0" w:line="240" w:lineRule="auto"/>
              <w:jc w:val="center"/>
              <w:rPr>
                <w:rFonts w:ascii="Times New Roman" w:eastAsia="Times New Roman" w:hAnsi="Times New Roman" w:cs="Times New Roman"/>
                <w:color w:val="FF0000"/>
                <w:sz w:val="24"/>
                <w:szCs w:val="24"/>
                <w:lang w:eastAsia="pt-BR"/>
              </w:rPr>
            </w:pPr>
            <w:r w:rsidRPr="00B75C56">
              <w:rPr>
                <w:rFonts w:ascii="Arial" w:eastAsia="Times New Roman" w:hAnsi="Arial" w:cs="Arial"/>
                <w:color w:val="FF0000"/>
                <w:sz w:val="24"/>
                <w:szCs w:val="24"/>
                <w:lang w:eastAsia="pt-BR"/>
              </w:rPr>
              <w:t> </w:t>
            </w:r>
          </w:p>
        </w:tc>
      </w:tr>
      <w:tr w:rsidR="00B75C56" w:rsidRPr="00B75C56" w:rsidTr="00B75C56">
        <w:trPr>
          <w:trHeight w:val="310"/>
        </w:trPr>
        <w:tc>
          <w:tcPr>
            <w:tcW w:w="1143" w:type="dxa"/>
            <w:vMerge w:val="restar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B75C56" w:rsidRPr="00DE2EA6"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DE2EA6">
              <w:rPr>
                <w:rFonts w:ascii="Arial" w:eastAsia="Times New Roman" w:hAnsi="Arial" w:cs="Arial"/>
                <w:b/>
                <w:bCs/>
                <w:sz w:val="16"/>
                <w:szCs w:val="16"/>
                <w:lang w:eastAsia="pt-BR"/>
              </w:rPr>
              <w:t>Exterior</w:t>
            </w:r>
          </w:p>
        </w:tc>
        <w:tc>
          <w:tcPr>
            <w:tcW w:w="3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DE2EA6" w:rsidRDefault="00B75C56" w:rsidP="00B75C56">
            <w:pPr>
              <w:spacing w:before="100" w:beforeAutospacing="1" w:after="0" w:line="240" w:lineRule="auto"/>
              <w:rPr>
                <w:rFonts w:ascii="Times New Roman" w:eastAsia="Times New Roman" w:hAnsi="Times New Roman" w:cs="Times New Roman"/>
                <w:sz w:val="24"/>
                <w:szCs w:val="24"/>
                <w:lang w:eastAsia="pt-BR"/>
              </w:rPr>
            </w:pPr>
            <w:r w:rsidRPr="00DE2EA6">
              <w:rPr>
                <w:rFonts w:ascii="Arial" w:eastAsia="Times New Roman" w:hAnsi="Arial" w:cs="Arial"/>
                <w:sz w:val="16"/>
                <w:szCs w:val="16"/>
                <w:lang w:eastAsia="pt-BR"/>
              </w:rPr>
              <w:t>9º A I - Renda Fixa - Dívida Externa</w:t>
            </w:r>
          </w:p>
        </w:tc>
        <w:tc>
          <w:tcPr>
            <w:tcW w:w="1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DE2EA6"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DE2EA6">
              <w:rPr>
                <w:rFonts w:ascii="Arial" w:eastAsia="Times New Roman" w:hAnsi="Arial" w:cs="Arial"/>
                <w:sz w:val="16"/>
                <w:szCs w:val="16"/>
                <w:lang w:eastAsia="pt-BR"/>
              </w:rPr>
              <w:t>10,00%</w:t>
            </w:r>
          </w:p>
        </w:tc>
        <w:tc>
          <w:tcPr>
            <w:tcW w:w="267" w:type="dxa"/>
            <w:tcBorders>
              <w:top w:val="nil"/>
              <w:left w:val="nil"/>
              <w:bottom w:val="nil"/>
              <w:right w:val="single" w:sz="8" w:space="0" w:color="auto"/>
            </w:tcBorders>
            <w:tcMar>
              <w:top w:w="0" w:type="dxa"/>
              <w:left w:w="108" w:type="dxa"/>
              <w:bottom w:w="0" w:type="dxa"/>
              <w:right w:w="108" w:type="dxa"/>
            </w:tcMar>
            <w:vAlign w:val="center"/>
            <w:hideMark/>
          </w:tcPr>
          <w:p w:rsidR="00B75C56" w:rsidRPr="00B75C56" w:rsidRDefault="00B75C56" w:rsidP="00B75C56">
            <w:pPr>
              <w:spacing w:before="100" w:beforeAutospacing="1" w:after="0" w:line="240" w:lineRule="auto"/>
              <w:jc w:val="center"/>
              <w:rPr>
                <w:rFonts w:ascii="Times New Roman" w:eastAsia="Times New Roman" w:hAnsi="Times New Roman" w:cs="Times New Roman"/>
                <w:color w:val="FF0000"/>
                <w:sz w:val="24"/>
                <w:szCs w:val="24"/>
                <w:lang w:eastAsia="pt-BR"/>
              </w:rPr>
            </w:pPr>
            <w:r w:rsidRPr="00B75C56">
              <w:rPr>
                <w:rFonts w:ascii="Arial" w:eastAsia="Times New Roman" w:hAnsi="Arial" w:cs="Arial"/>
                <w:color w:val="FF0000"/>
                <w:sz w:val="24"/>
                <w:szCs w:val="24"/>
                <w:lang w:eastAsia="pt-BR"/>
              </w:rPr>
              <w:t> </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rsidR="00B75C56" w:rsidRPr="009A7012"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9A7012">
              <w:rPr>
                <w:rFonts w:ascii="Arial" w:eastAsia="Times New Roman" w:hAnsi="Arial" w:cs="Arial"/>
                <w:sz w:val="16"/>
                <w:szCs w:val="16"/>
                <w:lang w:eastAsia="pt-BR"/>
              </w:rPr>
              <w:t>0,00%</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rsidR="00B75C56" w:rsidRPr="009A7012"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9A7012">
              <w:rPr>
                <w:rFonts w:ascii="Arial" w:eastAsia="Times New Roman" w:hAnsi="Arial" w:cs="Arial"/>
                <w:sz w:val="16"/>
                <w:szCs w:val="16"/>
                <w:lang w:eastAsia="pt-BR"/>
              </w:rPr>
              <w:t>0,00%</w:t>
            </w:r>
          </w:p>
        </w:tc>
      </w:tr>
      <w:tr w:rsidR="00B75C56" w:rsidRPr="00B75C56" w:rsidTr="00B75C56">
        <w:trPr>
          <w:trHeight w:val="337"/>
        </w:trPr>
        <w:tc>
          <w:tcPr>
            <w:tcW w:w="0" w:type="auto"/>
            <w:vMerge/>
            <w:tcBorders>
              <w:top w:val="nil"/>
              <w:left w:val="single" w:sz="8" w:space="0" w:color="auto"/>
              <w:bottom w:val="single" w:sz="8" w:space="0" w:color="auto"/>
              <w:right w:val="single" w:sz="8" w:space="0" w:color="auto"/>
            </w:tcBorders>
            <w:vAlign w:val="center"/>
            <w:hideMark/>
          </w:tcPr>
          <w:p w:rsidR="00B75C56" w:rsidRPr="00DE2EA6" w:rsidRDefault="00B75C56" w:rsidP="00B75C56">
            <w:pPr>
              <w:spacing w:after="0" w:line="240" w:lineRule="auto"/>
              <w:rPr>
                <w:rFonts w:ascii="Times New Roman" w:eastAsia="Times New Roman" w:hAnsi="Times New Roman" w:cs="Times New Roman"/>
                <w:sz w:val="24"/>
                <w:szCs w:val="24"/>
                <w:lang w:eastAsia="pt-BR"/>
              </w:rPr>
            </w:pPr>
          </w:p>
        </w:tc>
        <w:tc>
          <w:tcPr>
            <w:tcW w:w="3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DE2EA6" w:rsidRDefault="00B75C56" w:rsidP="00B75C56">
            <w:pPr>
              <w:spacing w:before="100" w:beforeAutospacing="1" w:after="0" w:line="240" w:lineRule="auto"/>
              <w:rPr>
                <w:rFonts w:ascii="Times New Roman" w:eastAsia="Times New Roman" w:hAnsi="Times New Roman" w:cs="Times New Roman"/>
                <w:sz w:val="24"/>
                <w:szCs w:val="24"/>
                <w:lang w:eastAsia="pt-BR"/>
              </w:rPr>
            </w:pPr>
            <w:r w:rsidRPr="00DE2EA6">
              <w:rPr>
                <w:rFonts w:ascii="Arial" w:eastAsia="Times New Roman" w:hAnsi="Arial" w:cs="Arial"/>
                <w:sz w:val="16"/>
                <w:szCs w:val="16"/>
                <w:lang w:eastAsia="pt-BR"/>
              </w:rPr>
              <w:t>9º A II - Constituídos no Brasil</w:t>
            </w:r>
          </w:p>
        </w:tc>
        <w:tc>
          <w:tcPr>
            <w:tcW w:w="1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DE2EA6"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DE2EA6">
              <w:rPr>
                <w:rFonts w:ascii="Arial" w:eastAsia="Times New Roman" w:hAnsi="Arial" w:cs="Arial"/>
                <w:sz w:val="16"/>
                <w:szCs w:val="16"/>
                <w:lang w:eastAsia="pt-BR"/>
              </w:rPr>
              <w:t>10,00%</w:t>
            </w:r>
          </w:p>
        </w:tc>
        <w:tc>
          <w:tcPr>
            <w:tcW w:w="267" w:type="dxa"/>
            <w:tcBorders>
              <w:top w:val="nil"/>
              <w:left w:val="nil"/>
              <w:bottom w:val="nil"/>
              <w:right w:val="single" w:sz="8" w:space="0" w:color="auto"/>
            </w:tcBorders>
            <w:tcMar>
              <w:top w:w="0" w:type="dxa"/>
              <w:left w:w="108" w:type="dxa"/>
              <w:bottom w:w="0" w:type="dxa"/>
              <w:right w:w="108" w:type="dxa"/>
            </w:tcMar>
            <w:vAlign w:val="center"/>
            <w:hideMark/>
          </w:tcPr>
          <w:p w:rsidR="00B75C56" w:rsidRPr="00B75C56" w:rsidRDefault="00B75C56" w:rsidP="00B75C56">
            <w:pPr>
              <w:spacing w:before="100" w:beforeAutospacing="1" w:after="0" w:line="240" w:lineRule="auto"/>
              <w:jc w:val="center"/>
              <w:rPr>
                <w:rFonts w:ascii="Times New Roman" w:eastAsia="Times New Roman" w:hAnsi="Times New Roman" w:cs="Times New Roman"/>
                <w:color w:val="FF0000"/>
                <w:sz w:val="24"/>
                <w:szCs w:val="24"/>
                <w:lang w:eastAsia="pt-BR"/>
              </w:rPr>
            </w:pPr>
            <w:r w:rsidRPr="00B75C56">
              <w:rPr>
                <w:rFonts w:ascii="Arial" w:eastAsia="Times New Roman" w:hAnsi="Arial" w:cs="Arial"/>
                <w:color w:val="FF0000"/>
                <w:sz w:val="24"/>
                <w:szCs w:val="24"/>
                <w:lang w:eastAsia="pt-BR"/>
              </w:rPr>
              <w:t> </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rsidR="00B75C56" w:rsidRPr="009A7012"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9A7012">
              <w:rPr>
                <w:rFonts w:ascii="Arial" w:eastAsia="Times New Roman" w:hAnsi="Arial" w:cs="Arial"/>
                <w:sz w:val="16"/>
                <w:szCs w:val="16"/>
                <w:lang w:eastAsia="pt-BR"/>
              </w:rPr>
              <w:t>0,00%</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rsidR="00B75C56" w:rsidRPr="009A7012"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9A7012">
              <w:rPr>
                <w:rFonts w:ascii="Arial" w:eastAsia="Times New Roman" w:hAnsi="Arial" w:cs="Arial"/>
                <w:sz w:val="16"/>
                <w:szCs w:val="16"/>
                <w:lang w:eastAsia="pt-BR"/>
              </w:rPr>
              <w:t>5,00%</w:t>
            </w:r>
          </w:p>
        </w:tc>
      </w:tr>
      <w:tr w:rsidR="00B75C56" w:rsidRPr="00B75C56" w:rsidTr="00B75C56">
        <w:trPr>
          <w:trHeight w:val="337"/>
        </w:trPr>
        <w:tc>
          <w:tcPr>
            <w:tcW w:w="0" w:type="auto"/>
            <w:vMerge/>
            <w:tcBorders>
              <w:top w:val="nil"/>
              <w:left w:val="single" w:sz="8" w:space="0" w:color="auto"/>
              <w:bottom w:val="single" w:sz="8" w:space="0" w:color="auto"/>
              <w:right w:val="single" w:sz="8" w:space="0" w:color="auto"/>
            </w:tcBorders>
            <w:vAlign w:val="center"/>
            <w:hideMark/>
          </w:tcPr>
          <w:p w:rsidR="00B75C56" w:rsidRPr="00DE2EA6" w:rsidRDefault="00B75C56" w:rsidP="00B75C56">
            <w:pPr>
              <w:spacing w:after="0" w:line="240" w:lineRule="auto"/>
              <w:rPr>
                <w:rFonts w:ascii="Times New Roman" w:eastAsia="Times New Roman" w:hAnsi="Times New Roman" w:cs="Times New Roman"/>
                <w:sz w:val="24"/>
                <w:szCs w:val="24"/>
                <w:lang w:eastAsia="pt-BR"/>
              </w:rPr>
            </w:pPr>
          </w:p>
        </w:tc>
        <w:tc>
          <w:tcPr>
            <w:tcW w:w="3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DE2EA6" w:rsidRDefault="00B75C56" w:rsidP="00B75C56">
            <w:pPr>
              <w:spacing w:before="100" w:beforeAutospacing="1" w:after="0" w:line="240" w:lineRule="auto"/>
              <w:rPr>
                <w:rFonts w:ascii="Times New Roman" w:eastAsia="Times New Roman" w:hAnsi="Times New Roman" w:cs="Times New Roman"/>
                <w:sz w:val="24"/>
                <w:szCs w:val="24"/>
                <w:lang w:eastAsia="pt-BR"/>
              </w:rPr>
            </w:pPr>
            <w:r w:rsidRPr="00DE2EA6">
              <w:rPr>
                <w:rFonts w:ascii="Arial" w:eastAsia="Times New Roman" w:hAnsi="Arial" w:cs="Arial"/>
                <w:sz w:val="16"/>
                <w:szCs w:val="16"/>
                <w:lang w:eastAsia="pt-BR"/>
              </w:rPr>
              <w:t>9º A III - Ações - BDR Nível I</w:t>
            </w:r>
          </w:p>
        </w:tc>
        <w:tc>
          <w:tcPr>
            <w:tcW w:w="1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DE2EA6"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DE2EA6">
              <w:rPr>
                <w:rFonts w:ascii="Arial" w:eastAsia="Times New Roman" w:hAnsi="Arial" w:cs="Arial"/>
                <w:sz w:val="16"/>
                <w:szCs w:val="16"/>
                <w:lang w:eastAsia="pt-BR"/>
              </w:rPr>
              <w:t>10,00%</w:t>
            </w:r>
          </w:p>
        </w:tc>
        <w:tc>
          <w:tcPr>
            <w:tcW w:w="267" w:type="dxa"/>
            <w:tcBorders>
              <w:top w:val="nil"/>
              <w:left w:val="nil"/>
              <w:bottom w:val="nil"/>
              <w:right w:val="single" w:sz="8" w:space="0" w:color="auto"/>
            </w:tcBorders>
            <w:tcMar>
              <w:top w:w="0" w:type="dxa"/>
              <w:left w:w="108" w:type="dxa"/>
              <w:bottom w:w="0" w:type="dxa"/>
              <w:right w:w="108" w:type="dxa"/>
            </w:tcMar>
            <w:vAlign w:val="center"/>
            <w:hideMark/>
          </w:tcPr>
          <w:p w:rsidR="00B75C56" w:rsidRPr="00B75C56" w:rsidRDefault="00B75C56" w:rsidP="00B75C56">
            <w:pPr>
              <w:spacing w:before="100" w:beforeAutospacing="1" w:after="0" w:line="240" w:lineRule="auto"/>
              <w:jc w:val="center"/>
              <w:rPr>
                <w:rFonts w:ascii="Times New Roman" w:eastAsia="Times New Roman" w:hAnsi="Times New Roman" w:cs="Times New Roman"/>
                <w:color w:val="FF0000"/>
                <w:sz w:val="24"/>
                <w:szCs w:val="24"/>
                <w:lang w:eastAsia="pt-BR"/>
              </w:rPr>
            </w:pPr>
            <w:r w:rsidRPr="00B75C56">
              <w:rPr>
                <w:rFonts w:ascii="Arial" w:eastAsia="Times New Roman" w:hAnsi="Arial" w:cs="Arial"/>
                <w:color w:val="FF0000"/>
                <w:sz w:val="24"/>
                <w:szCs w:val="24"/>
                <w:lang w:eastAsia="pt-BR"/>
              </w:rPr>
              <w:t> </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rsidR="00B75C56" w:rsidRPr="009A7012"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9A7012">
              <w:rPr>
                <w:rFonts w:ascii="Arial" w:eastAsia="Times New Roman" w:hAnsi="Arial" w:cs="Arial"/>
                <w:sz w:val="16"/>
                <w:szCs w:val="16"/>
                <w:lang w:eastAsia="pt-BR"/>
              </w:rPr>
              <w:t>0,00%</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rsidR="00B75C56" w:rsidRPr="009A7012"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9A7012">
              <w:rPr>
                <w:rFonts w:ascii="Arial" w:eastAsia="Times New Roman" w:hAnsi="Arial" w:cs="Arial"/>
                <w:sz w:val="16"/>
                <w:szCs w:val="16"/>
                <w:lang w:eastAsia="pt-BR"/>
              </w:rPr>
              <w:t>5,00%</w:t>
            </w:r>
          </w:p>
        </w:tc>
      </w:tr>
      <w:tr w:rsidR="00B75C56" w:rsidRPr="00B75C56" w:rsidTr="00B75C56">
        <w:trPr>
          <w:trHeight w:val="337"/>
        </w:trPr>
        <w:tc>
          <w:tcPr>
            <w:tcW w:w="1143" w:type="dxa"/>
            <w:tcBorders>
              <w:top w:val="nil"/>
              <w:left w:val="nil"/>
              <w:bottom w:val="nil"/>
              <w:right w:val="single" w:sz="8" w:space="0" w:color="auto"/>
            </w:tcBorders>
            <w:tcMar>
              <w:top w:w="0" w:type="dxa"/>
              <w:left w:w="108" w:type="dxa"/>
              <w:bottom w:w="0" w:type="dxa"/>
              <w:right w:w="108" w:type="dxa"/>
            </w:tcMar>
            <w:vAlign w:val="center"/>
            <w:hideMark/>
          </w:tcPr>
          <w:p w:rsidR="00B75C56" w:rsidRPr="00DE2EA6"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DE2EA6">
              <w:rPr>
                <w:rFonts w:ascii="Arial" w:eastAsia="Times New Roman" w:hAnsi="Arial" w:cs="Arial"/>
                <w:b/>
                <w:bCs/>
                <w:sz w:val="24"/>
                <w:szCs w:val="24"/>
                <w:lang w:eastAsia="pt-BR"/>
              </w:rPr>
              <w:t> </w:t>
            </w:r>
          </w:p>
        </w:tc>
        <w:tc>
          <w:tcPr>
            <w:tcW w:w="386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B75C56" w:rsidRPr="00DE2EA6" w:rsidRDefault="00B75C56" w:rsidP="00B75C56">
            <w:pPr>
              <w:spacing w:before="100" w:beforeAutospacing="1" w:after="0" w:line="240" w:lineRule="auto"/>
              <w:rPr>
                <w:rFonts w:ascii="Times New Roman" w:eastAsia="Times New Roman" w:hAnsi="Times New Roman" w:cs="Times New Roman"/>
                <w:sz w:val="24"/>
                <w:szCs w:val="24"/>
                <w:lang w:eastAsia="pt-BR"/>
              </w:rPr>
            </w:pPr>
            <w:r w:rsidRPr="00DE2EA6">
              <w:rPr>
                <w:rFonts w:ascii="Arial" w:eastAsia="Times New Roman" w:hAnsi="Arial" w:cs="Arial"/>
                <w:b/>
                <w:bCs/>
                <w:sz w:val="16"/>
                <w:szCs w:val="16"/>
                <w:lang w:eastAsia="pt-BR"/>
              </w:rPr>
              <w:t xml:space="preserve">Limite de Investimentos no Exterior </w:t>
            </w:r>
          </w:p>
        </w:tc>
        <w:tc>
          <w:tcPr>
            <w:tcW w:w="151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B75C56" w:rsidRPr="00DE2EA6"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DE2EA6">
              <w:rPr>
                <w:rFonts w:ascii="Arial" w:eastAsia="Times New Roman" w:hAnsi="Arial" w:cs="Arial"/>
                <w:b/>
                <w:bCs/>
                <w:sz w:val="16"/>
                <w:szCs w:val="16"/>
                <w:lang w:eastAsia="pt-BR"/>
              </w:rPr>
              <w:t>10,00%</w:t>
            </w:r>
          </w:p>
        </w:tc>
        <w:tc>
          <w:tcPr>
            <w:tcW w:w="267" w:type="dxa"/>
            <w:tcBorders>
              <w:top w:val="nil"/>
              <w:left w:val="nil"/>
              <w:bottom w:val="nil"/>
              <w:right w:val="single" w:sz="8" w:space="0" w:color="auto"/>
            </w:tcBorders>
            <w:tcMar>
              <w:top w:w="0" w:type="dxa"/>
              <w:left w:w="108" w:type="dxa"/>
              <w:bottom w:w="0" w:type="dxa"/>
              <w:right w:w="108" w:type="dxa"/>
            </w:tcMar>
            <w:vAlign w:val="center"/>
            <w:hideMark/>
          </w:tcPr>
          <w:p w:rsidR="00B75C56" w:rsidRPr="00B75C56" w:rsidRDefault="00B75C56" w:rsidP="00B75C56">
            <w:pPr>
              <w:spacing w:before="100" w:beforeAutospacing="1" w:after="0" w:line="240" w:lineRule="auto"/>
              <w:jc w:val="center"/>
              <w:rPr>
                <w:rFonts w:ascii="Times New Roman" w:eastAsia="Times New Roman" w:hAnsi="Times New Roman" w:cs="Times New Roman"/>
                <w:color w:val="FF0000"/>
                <w:sz w:val="24"/>
                <w:szCs w:val="24"/>
                <w:lang w:eastAsia="pt-BR"/>
              </w:rPr>
            </w:pPr>
            <w:r w:rsidRPr="00B75C56">
              <w:rPr>
                <w:rFonts w:ascii="Arial" w:eastAsia="Times New Roman" w:hAnsi="Arial" w:cs="Arial"/>
                <w:color w:val="FF0000"/>
                <w:sz w:val="24"/>
                <w:szCs w:val="24"/>
                <w:lang w:eastAsia="pt-BR"/>
              </w:rPr>
              <w:t> </w:t>
            </w:r>
          </w:p>
        </w:tc>
        <w:tc>
          <w:tcPr>
            <w:tcW w:w="151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B75C56" w:rsidRPr="009A7012"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9A7012">
              <w:rPr>
                <w:rFonts w:ascii="Arial" w:eastAsia="Times New Roman" w:hAnsi="Arial" w:cs="Arial"/>
                <w:sz w:val="16"/>
                <w:szCs w:val="16"/>
                <w:lang w:eastAsia="pt-BR"/>
              </w:rPr>
              <w:t>0,00%</w:t>
            </w:r>
          </w:p>
        </w:tc>
        <w:tc>
          <w:tcPr>
            <w:tcW w:w="151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B75C56" w:rsidRPr="009A7012" w:rsidRDefault="00B75C56" w:rsidP="00B75C56">
            <w:pPr>
              <w:spacing w:before="100" w:beforeAutospacing="1" w:after="0" w:line="240" w:lineRule="auto"/>
              <w:jc w:val="center"/>
              <w:rPr>
                <w:rFonts w:ascii="Times New Roman" w:eastAsia="Times New Roman" w:hAnsi="Times New Roman" w:cs="Times New Roman"/>
                <w:sz w:val="24"/>
                <w:szCs w:val="24"/>
                <w:lang w:eastAsia="pt-BR"/>
              </w:rPr>
            </w:pPr>
            <w:r w:rsidRPr="009A7012">
              <w:rPr>
                <w:rFonts w:ascii="Arial" w:eastAsia="Times New Roman" w:hAnsi="Arial" w:cs="Arial"/>
                <w:sz w:val="16"/>
                <w:szCs w:val="16"/>
                <w:lang w:eastAsia="pt-BR"/>
              </w:rPr>
              <w:t>10,00%</w:t>
            </w:r>
          </w:p>
        </w:tc>
      </w:tr>
    </w:tbl>
    <w:p w:rsidR="00DE2EA6" w:rsidRDefault="00DE2EA6" w:rsidP="00B75C56">
      <w:pPr>
        <w:spacing w:before="288" w:after="0" w:line="240" w:lineRule="auto"/>
        <w:jc w:val="center"/>
        <w:rPr>
          <w:rFonts w:ascii="Arial" w:eastAsia="Times New Roman" w:hAnsi="Arial" w:cs="Arial"/>
          <w:b/>
          <w:bCs/>
          <w:color w:val="FF0000"/>
          <w:sz w:val="24"/>
          <w:szCs w:val="24"/>
          <w:lang w:eastAsia="pt-BR"/>
        </w:rPr>
      </w:pPr>
    </w:p>
    <w:p w:rsidR="00B75C56" w:rsidRPr="00B75C56" w:rsidRDefault="00B75C56" w:rsidP="00B75C56">
      <w:pPr>
        <w:spacing w:before="288" w:after="0" w:line="240" w:lineRule="auto"/>
        <w:jc w:val="center"/>
        <w:rPr>
          <w:rFonts w:ascii="Times New Roman" w:eastAsia="Times New Roman" w:hAnsi="Times New Roman" w:cs="Times New Roman"/>
          <w:color w:val="FF0000"/>
          <w:sz w:val="24"/>
          <w:szCs w:val="24"/>
          <w:lang w:eastAsia="pt-BR"/>
        </w:rPr>
      </w:pPr>
      <w:r w:rsidRPr="00B75C56">
        <w:rPr>
          <w:rFonts w:ascii="Arial" w:eastAsia="Times New Roman" w:hAnsi="Arial" w:cs="Arial"/>
          <w:b/>
          <w:bCs/>
          <w:color w:val="FF0000"/>
          <w:sz w:val="24"/>
          <w:szCs w:val="24"/>
          <w:lang w:eastAsia="pt-BR"/>
        </w:rPr>
        <w:t> </w:t>
      </w:r>
    </w:p>
    <w:p w:rsidR="00B75C56" w:rsidRPr="00322F05" w:rsidRDefault="00B75C56" w:rsidP="005C3FB4">
      <w:pPr>
        <w:spacing w:before="288" w:after="100" w:afterAutospacing="1" w:line="240" w:lineRule="auto"/>
        <w:jc w:val="both"/>
        <w:rPr>
          <w:rFonts w:ascii="Times New Roman" w:eastAsia="Times New Roman" w:hAnsi="Times New Roman" w:cs="Times New Roman"/>
          <w:sz w:val="24"/>
          <w:szCs w:val="24"/>
          <w:lang w:eastAsia="pt-BR"/>
        </w:rPr>
      </w:pPr>
      <w:r w:rsidRPr="00322F05">
        <w:rPr>
          <w:rFonts w:ascii="Arial" w:eastAsia="Times New Roman" w:hAnsi="Arial" w:cs="Arial"/>
          <w:sz w:val="20"/>
          <w:szCs w:val="20"/>
          <w:lang w:eastAsia="pt-BR"/>
        </w:rPr>
        <w:lastRenderedPageBreak/>
        <w:t xml:space="preserve">O </w:t>
      </w:r>
      <w:r w:rsidRPr="00322F05">
        <w:rPr>
          <w:rFonts w:ascii="Arial" w:eastAsia="Times New Roman" w:hAnsi="Arial" w:cs="Arial"/>
          <w:b/>
          <w:bCs/>
          <w:sz w:val="20"/>
          <w:szCs w:val="20"/>
          <w:lang w:eastAsia="pt-BR"/>
        </w:rPr>
        <w:t>FUNDO MUNICIPAL DE APOSENTADORIA E PENSÃO DE FERNÃO</w:t>
      </w:r>
      <w:r w:rsidRPr="00322F05">
        <w:rPr>
          <w:rFonts w:ascii="Arial" w:eastAsia="Times New Roman" w:hAnsi="Arial" w:cs="Arial"/>
          <w:sz w:val="20"/>
          <w:szCs w:val="20"/>
          <w:lang w:eastAsia="pt-BR"/>
        </w:rPr>
        <w:t xml:space="preserve"> considera os limites apresentados no resultado do estudo técnico elaborado através as reservas técnicas atuariais (ativos) e as reservas </w:t>
      </w:r>
      <w:proofErr w:type="gramStart"/>
      <w:r w:rsidRPr="00322F05">
        <w:rPr>
          <w:rFonts w:ascii="Arial" w:eastAsia="Times New Roman" w:hAnsi="Arial" w:cs="Arial"/>
          <w:sz w:val="20"/>
          <w:szCs w:val="20"/>
          <w:lang w:eastAsia="pt-BR"/>
        </w:rPr>
        <w:t>matemáticas (passivo) projetadas pelo cálculo atuarial</w:t>
      </w:r>
      <w:proofErr w:type="gramEnd"/>
      <w:r w:rsidRPr="00322F05">
        <w:rPr>
          <w:rFonts w:ascii="Arial" w:eastAsia="Times New Roman" w:hAnsi="Arial" w:cs="Arial"/>
          <w:sz w:val="20"/>
          <w:szCs w:val="20"/>
          <w:lang w:eastAsia="pt-BR"/>
        </w:rPr>
        <w:t xml:space="preserve"> o que pode exigir maior flexibilidade nos níveis de liquidez da carteira. Foram </w:t>
      </w:r>
      <w:r w:rsidR="00322F05" w:rsidRPr="00322F05">
        <w:rPr>
          <w:rFonts w:ascii="Arial" w:eastAsia="Times New Roman" w:hAnsi="Arial" w:cs="Arial"/>
          <w:sz w:val="20"/>
          <w:szCs w:val="20"/>
          <w:lang w:eastAsia="pt-BR"/>
        </w:rPr>
        <w:t>observadas</w:t>
      </w:r>
      <w:r w:rsidRPr="00322F05">
        <w:rPr>
          <w:rFonts w:ascii="Arial" w:eastAsia="Times New Roman" w:hAnsi="Arial" w:cs="Arial"/>
          <w:sz w:val="20"/>
          <w:szCs w:val="20"/>
          <w:lang w:eastAsia="pt-BR"/>
        </w:rPr>
        <w:t>, também, a compatibilid</w:t>
      </w:r>
      <w:r w:rsidR="00322F05" w:rsidRPr="00322F05">
        <w:rPr>
          <w:rFonts w:ascii="Arial" w:eastAsia="Times New Roman" w:hAnsi="Arial" w:cs="Arial"/>
          <w:sz w:val="20"/>
          <w:szCs w:val="20"/>
          <w:lang w:eastAsia="pt-BR"/>
        </w:rPr>
        <w:t>ade dos ativos investidos com o</w:t>
      </w:r>
      <w:r w:rsidRPr="00322F05">
        <w:rPr>
          <w:rFonts w:ascii="Arial" w:eastAsia="Times New Roman" w:hAnsi="Arial" w:cs="Arial"/>
          <w:sz w:val="20"/>
          <w:szCs w:val="20"/>
          <w:lang w:eastAsia="pt-BR"/>
        </w:rPr>
        <w:t xml:space="preserve"> prazo e taxas das obrigações presentes e futuras do regime.</w:t>
      </w:r>
    </w:p>
    <w:p w:rsidR="00B75C56" w:rsidRPr="00322F05" w:rsidRDefault="00B75C56" w:rsidP="00B75C56">
      <w:pPr>
        <w:spacing w:before="100" w:beforeAutospacing="1" w:after="100" w:afterAutospacing="1" w:line="240" w:lineRule="auto"/>
        <w:outlineLvl w:val="1"/>
        <w:rPr>
          <w:rFonts w:ascii="Arial" w:eastAsia="Times New Roman" w:hAnsi="Arial" w:cs="Arial"/>
          <w:b/>
          <w:bCs/>
          <w:sz w:val="20"/>
          <w:szCs w:val="20"/>
          <w:lang w:eastAsia="pt-BR"/>
        </w:rPr>
      </w:pPr>
      <w:bookmarkStart w:id="49" w:name="_Toc20130598"/>
      <w:bookmarkStart w:id="50" w:name="_Toc490036547"/>
      <w:bookmarkStart w:id="51" w:name="_Toc435202742"/>
      <w:bookmarkEnd w:id="49"/>
      <w:bookmarkEnd w:id="50"/>
      <w:r w:rsidRPr="00322F05">
        <w:rPr>
          <w:rFonts w:ascii="Arial" w:eastAsia="Times New Roman" w:hAnsi="Arial" w:cs="Arial"/>
          <w:b/>
          <w:bCs/>
          <w:sz w:val="20"/>
          <w:szCs w:val="20"/>
          <w:lang w:eastAsia="pt-BR"/>
        </w:rPr>
        <w:t>5.1      SEGMENTO DE RENDA FIXA</w:t>
      </w:r>
      <w:bookmarkEnd w:id="51"/>
    </w:p>
    <w:p w:rsidR="00B75C56" w:rsidRPr="003B2292" w:rsidRDefault="00B75C56" w:rsidP="00322F05">
      <w:pPr>
        <w:spacing w:before="288" w:after="100" w:afterAutospacing="1" w:line="240" w:lineRule="auto"/>
        <w:jc w:val="both"/>
        <w:rPr>
          <w:rFonts w:ascii="Times New Roman" w:eastAsia="Times New Roman" w:hAnsi="Times New Roman" w:cs="Times New Roman"/>
          <w:sz w:val="24"/>
          <w:szCs w:val="24"/>
          <w:lang w:eastAsia="pt-BR"/>
        </w:rPr>
      </w:pPr>
      <w:proofErr w:type="gramStart"/>
      <w:r w:rsidRPr="003B2292">
        <w:rPr>
          <w:rFonts w:ascii="Arial" w:eastAsia="Times New Roman" w:hAnsi="Arial" w:cs="Arial"/>
          <w:sz w:val="20"/>
          <w:szCs w:val="20"/>
          <w:lang w:eastAsia="pt-BR"/>
        </w:rPr>
        <w:t>Obedecendo os</w:t>
      </w:r>
      <w:proofErr w:type="gramEnd"/>
      <w:r w:rsidRPr="003B2292">
        <w:rPr>
          <w:rFonts w:ascii="Arial" w:eastAsia="Times New Roman" w:hAnsi="Arial" w:cs="Arial"/>
          <w:sz w:val="20"/>
          <w:szCs w:val="20"/>
          <w:lang w:eastAsia="pt-BR"/>
        </w:rPr>
        <w:t xml:space="preserve"> limites permitidos pela Resolução CMN n° 3922/2010, propõe-se adotar o </w:t>
      </w:r>
      <w:r w:rsidRPr="003B2292">
        <w:rPr>
          <w:rFonts w:ascii="Arial" w:eastAsia="Times New Roman" w:hAnsi="Arial" w:cs="Arial"/>
          <w:b/>
          <w:bCs/>
          <w:sz w:val="20"/>
          <w:szCs w:val="20"/>
          <w:lang w:eastAsia="pt-BR"/>
        </w:rPr>
        <w:t xml:space="preserve">limite de máximo de </w:t>
      </w:r>
      <w:r w:rsidR="00322F05" w:rsidRPr="003B2292">
        <w:rPr>
          <w:rFonts w:ascii="Arial" w:eastAsia="Times New Roman" w:hAnsi="Arial" w:cs="Arial"/>
          <w:b/>
          <w:bCs/>
          <w:sz w:val="20"/>
          <w:szCs w:val="20"/>
          <w:lang w:eastAsia="pt-BR"/>
        </w:rPr>
        <w:t>80,00</w:t>
      </w:r>
      <w:r w:rsidRPr="003B2292">
        <w:rPr>
          <w:rFonts w:ascii="Arial" w:eastAsia="Times New Roman" w:hAnsi="Arial" w:cs="Arial"/>
          <w:b/>
          <w:bCs/>
          <w:sz w:val="20"/>
          <w:szCs w:val="20"/>
          <w:lang w:eastAsia="pt-BR"/>
        </w:rPr>
        <w:t>% (</w:t>
      </w:r>
      <w:r w:rsidR="00322F05" w:rsidRPr="003B2292">
        <w:rPr>
          <w:rFonts w:ascii="Arial" w:eastAsia="Times New Roman" w:hAnsi="Arial" w:cs="Arial"/>
          <w:b/>
          <w:bCs/>
          <w:sz w:val="20"/>
          <w:szCs w:val="20"/>
          <w:lang w:eastAsia="pt-BR"/>
        </w:rPr>
        <w:t>oitenta por cento</w:t>
      </w:r>
      <w:r w:rsidRPr="003B2292">
        <w:rPr>
          <w:rFonts w:ascii="Arial" w:eastAsia="Times New Roman" w:hAnsi="Arial" w:cs="Arial"/>
          <w:b/>
          <w:bCs/>
          <w:sz w:val="20"/>
          <w:szCs w:val="20"/>
          <w:lang w:eastAsia="pt-BR"/>
        </w:rPr>
        <w:t>) dos investimentos</w:t>
      </w:r>
      <w:r w:rsidR="00322F05" w:rsidRPr="003B2292">
        <w:rPr>
          <w:rFonts w:ascii="Arial" w:eastAsia="Times New Roman" w:hAnsi="Arial" w:cs="Arial"/>
          <w:b/>
          <w:bCs/>
          <w:sz w:val="20"/>
          <w:szCs w:val="20"/>
          <w:lang w:eastAsia="pt-BR"/>
        </w:rPr>
        <w:t xml:space="preserve"> financeiros do RPPS, no segmento de renda fixa</w:t>
      </w:r>
      <w:r w:rsidRPr="003B2292">
        <w:rPr>
          <w:rFonts w:ascii="Arial" w:eastAsia="Times New Roman" w:hAnsi="Arial" w:cs="Arial"/>
          <w:b/>
          <w:bCs/>
          <w:sz w:val="20"/>
          <w:szCs w:val="20"/>
          <w:lang w:eastAsia="pt-BR"/>
        </w:rPr>
        <w:t>.</w:t>
      </w:r>
    </w:p>
    <w:p w:rsidR="00B75C56" w:rsidRPr="00322F05" w:rsidRDefault="00B75C56" w:rsidP="00322F05">
      <w:pPr>
        <w:spacing w:before="288" w:after="100" w:afterAutospacing="1" w:line="240" w:lineRule="auto"/>
        <w:jc w:val="both"/>
        <w:rPr>
          <w:rFonts w:ascii="Times New Roman" w:eastAsia="Times New Roman" w:hAnsi="Times New Roman" w:cs="Times New Roman"/>
          <w:sz w:val="24"/>
          <w:szCs w:val="24"/>
          <w:lang w:eastAsia="pt-BR"/>
        </w:rPr>
      </w:pPr>
      <w:r w:rsidRPr="00322F05">
        <w:rPr>
          <w:rFonts w:ascii="Arial" w:eastAsia="Times New Roman" w:hAnsi="Arial" w:cs="Arial"/>
          <w:sz w:val="20"/>
          <w:szCs w:val="20"/>
          <w:lang w:eastAsia="pt-BR"/>
        </w:rPr>
        <w:t>A negociação de títulos e valores mobiliários no mercado secundário (compra/venda de títulos públicos) obedecerá ao disposto, Art. 7º, inciso I, alínea "a" da Resolução CMN n° 3.922/2010, e deverão ser comercializados através de plataforma eletrônica e registrados no Sistema Especial de Liquidação e de Custódia (SELIC), não sendo permitidas compras de títulos com pagamento de cupom com taxa inferior à meta de rentabilidade.</w:t>
      </w:r>
    </w:p>
    <w:p w:rsidR="00B75C56" w:rsidRPr="00322F05" w:rsidRDefault="00B75C56" w:rsidP="00322F05">
      <w:pPr>
        <w:spacing w:before="288" w:after="100" w:afterAutospacing="1" w:line="240" w:lineRule="auto"/>
        <w:jc w:val="both"/>
        <w:rPr>
          <w:rFonts w:ascii="Times New Roman" w:eastAsia="Times New Roman" w:hAnsi="Times New Roman" w:cs="Times New Roman"/>
          <w:sz w:val="24"/>
          <w:szCs w:val="24"/>
          <w:lang w:eastAsia="pt-BR"/>
        </w:rPr>
      </w:pPr>
      <w:r w:rsidRPr="00322F05">
        <w:rPr>
          <w:rFonts w:ascii="Arial" w:eastAsia="Times New Roman" w:hAnsi="Arial" w:cs="Arial"/>
          <w:sz w:val="20"/>
          <w:szCs w:val="20"/>
          <w:lang w:eastAsia="pt-BR"/>
        </w:rPr>
        <w:t xml:space="preserve">Poderão ser adquiridos Títulos Públicos Federais contabilizados pelos respectivos custos de aquisição acrescidos dos rendimentos auferidos, desde que se </w:t>
      </w:r>
      <w:r w:rsidR="00322F05" w:rsidRPr="00322F05">
        <w:rPr>
          <w:rFonts w:ascii="Arial" w:eastAsia="Times New Roman" w:hAnsi="Arial" w:cs="Arial"/>
          <w:sz w:val="20"/>
          <w:szCs w:val="20"/>
          <w:lang w:eastAsia="pt-BR"/>
        </w:rPr>
        <w:t>cumpram</w:t>
      </w:r>
      <w:r w:rsidRPr="00322F05">
        <w:rPr>
          <w:rFonts w:ascii="Arial" w:eastAsia="Times New Roman" w:hAnsi="Arial" w:cs="Arial"/>
          <w:sz w:val="20"/>
          <w:szCs w:val="20"/>
          <w:lang w:eastAsia="pt-BR"/>
        </w:rPr>
        <w:t xml:space="preserve"> cumulativamente as devidas exigências da Portaria MF n° 577, de 27 de dezembro de 2017 sendo elas:</w:t>
      </w:r>
    </w:p>
    <w:p w:rsidR="00B75C56" w:rsidRPr="00322F05" w:rsidRDefault="00B75C56" w:rsidP="00322F05">
      <w:pPr>
        <w:spacing w:before="288" w:after="160" w:line="240" w:lineRule="auto"/>
        <w:ind w:left="709"/>
        <w:jc w:val="both"/>
        <w:rPr>
          <w:rFonts w:ascii="Times New Roman" w:eastAsia="Times New Roman" w:hAnsi="Times New Roman" w:cs="Times New Roman"/>
          <w:sz w:val="24"/>
          <w:szCs w:val="24"/>
          <w:lang w:eastAsia="pt-BR"/>
        </w:rPr>
      </w:pPr>
      <w:r w:rsidRPr="00322F05">
        <w:rPr>
          <w:rFonts w:ascii="Arial" w:eastAsia="Times New Roman" w:hAnsi="Arial" w:cs="Arial"/>
          <w:sz w:val="20"/>
          <w:szCs w:val="20"/>
          <w:lang w:eastAsia="pt-BR"/>
        </w:rPr>
        <w:t>a) seja observada a sua compatibilidade com os prazos e taxas das obrigações presentes e futuras do RPPS;</w:t>
      </w:r>
    </w:p>
    <w:p w:rsidR="00B75C56" w:rsidRPr="00322F05" w:rsidRDefault="00B75C56" w:rsidP="00322F05">
      <w:pPr>
        <w:spacing w:before="288" w:after="160" w:line="240" w:lineRule="auto"/>
        <w:ind w:left="764"/>
        <w:jc w:val="both"/>
        <w:rPr>
          <w:rFonts w:ascii="Times New Roman" w:eastAsia="Times New Roman" w:hAnsi="Times New Roman" w:cs="Times New Roman"/>
          <w:sz w:val="24"/>
          <w:szCs w:val="24"/>
          <w:lang w:eastAsia="pt-BR"/>
        </w:rPr>
      </w:pPr>
      <w:r w:rsidRPr="00322F05">
        <w:rPr>
          <w:rFonts w:ascii="Arial" w:eastAsia="Times New Roman" w:hAnsi="Arial" w:cs="Arial"/>
          <w:sz w:val="20"/>
          <w:szCs w:val="20"/>
          <w:lang w:eastAsia="pt-BR"/>
        </w:rPr>
        <w:t>b) sejam classificados separadamente dos ativos para negociação, ou seja, daqueles adquiridos com o propósito de serem negociados, independentemente do prazo a decorrer da data da aquisição;</w:t>
      </w:r>
    </w:p>
    <w:p w:rsidR="00B75C56" w:rsidRPr="00322F05" w:rsidRDefault="00B75C56" w:rsidP="00322F05">
      <w:pPr>
        <w:spacing w:before="288" w:after="160" w:line="240" w:lineRule="auto"/>
        <w:ind w:left="764"/>
        <w:jc w:val="both"/>
        <w:rPr>
          <w:rFonts w:ascii="Times New Roman" w:eastAsia="Times New Roman" w:hAnsi="Times New Roman" w:cs="Times New Roman"/>
          <w:sz w:val="24"/>
          <w:szCs w:val="24"/>
          <w:lang w:eastAsia="pt-BR"/>
        </w:rPr>
      </w:pPr>
      <w:r w:rsidRPr="00322F05">
        <w:rPr>
          <w:rFonts w:ascii="Arial" w:eastAsia="Times New Roman" w:hAnsi="Arial" w:cs="Arial"/>
          <w:sz w:val="20"/>
          <w:szCs w:val="20"/>
          <w:lang w:eastAsia="pt-BR"/>
        </w:rPr>
        <w:t>c) seja comprovada a intenção e capacidade financeira do RPPS de mantê-los em carteira até o vencimento; e</w:t>
      </w:r>
    </w:p>
    <w:p w:rsidR="00B75C56" w:rsidRPr="00322F05" w:rsidRDefault="00B75C56" w:rsidP="00322F05">
      <w:pPr>
        <w:spacing w:before="288" w:after="160" w:line="240" w:lineRule="auto"/>
        <w:ind w:left="764"/>
        <w:jc w:val="both"/>
        <w:rPr>
          <w:rFonts w:ascii="Times New Roman" w:eastAsia="Times New Roman" w:hAnsi="Times New Roman" w:cs="Times New Roman"/>
          <w:sz w:val="24"/>
          <w:szCs w:val="24"/>
          <w:lang w:eastAsia="pt-BR"/>
        </w:rPr>
      </w:pPr>
      <w:r w:rsidRPr="00322F05">
        <w:rPr>
          <w:rFonts w:ascii="Arial" w:eastAsia="Times New Roman" w:hAnsi="Arial" w:cs="Arial"/>
          <w:sz w:val="20"/>
          <w:szCs w:val="20"/>
          <w:lang w:eastAsia="pt-BR"/>
        </w:rPr>
        <w:t>d) sejam atendidas as normas de atuária e de contabilidade aplicáveis aos RPPS, inclusive no que se refere à obrigatoriedade de divulgação das informações relativas aos títulos adquiridos, ao impacto nos resultados e aos requisitos e procedimentos, na hipótese de alteração da forma de precificação dos títulos de emissão do Tesouro Nacional.</w:t>
      </w:r>
    </w:p>
    <w:p w:rsidR="00B75C56" w:rsidRPr="004F2FF3" w:rsidRDefault="00B75C56" w:rsidP="004F2FF3">
      <w:pPr>
        <w:spacing w:before="288" w:after="100" w:afterAutospacing="1" w:line="240" w:lineRule="auto"/>
        <w:rPr>
          <w:rFonts w:ascii="Arial" w:eastAsia="Times New Roman" w:hAnsi="Arial" w:cs="Arial"/>
          <w:b/>
          <w:bCs/>
          <w:sz w:val="20"/>
          <w:szCs w:val="20"/>
          <w:lang w:eastAsia="pt-BR"/>
        </w:rPr>
      </w:pPr>
      <w:r w:rsidRPr="004F2FF3">
        <w:rPr>
          <w:rFonts w:ascii="Arial" w:eastAsia="Times New Roman" w:hAnsi="Arial" w:cs="Arial"/>
          <w:sz w:val="20"/>
          <w:szCs w:val="20"/>
          <w:lang w:eastAsia="pt-BR"/>
        </w:rPr>
        <w:t> </w:t>
      </w:r>
      <w:bookmarkStart w:id="52" w:name="_Toc20130599"/>
      <w:bookmarkStart w:id="53" w:name="_Toc490036548"/>
      <w:bookmarkStart w:id="54" w:name="_Toc435202743"/>
      <w:bookmarkEnd w:id="52"/>
      <w:bookmarkEnd w:id="53"/>
      <w:r w:rsidRPr="004F2FF3">
        <w:rPr>
          <w:rFonts w:ascii="Arial" w:eastAsia="Times New Roman" w:hAnsi="Arial" w:cs="Arial"/>
          <w:b/>
          <w:bCs/>
          <w:sz w:val="20"/>
          <w:szCs w:val="20"/>
          <w:lang w:eastAsia="pt-BR"/>
        </w:rPr>
        <w:t>5.2      SEGMENTO DE RENDA VARIÁVEL</w:t>
      </w:r>
      <w:bookmarkEnd w:id="54"/>
      <w:r w:rsidRPr="004F2FF3">
        <w:rPr>
          <w:rFonts w:ascii="Arial" w:eastAsia="Times New Roman" w:hAnsi="Arial" w:cs="Arial"/>
          <w:b/>
          <w:bCs/>
          <w:sz w:val="20"/>
          <w:szCs w:val="20"/>
          <w:lang w:eastAsia="pt-BR"/>
        </w:rPr>
        <w:t xml:space="preserve"> E INVESTIMENTOS ESTRUTURADOS</w:t>
      </w:r>
    </w:p>
    <w:p w:rsidR="00B75C56" w:rsidRPr="003B2292" w:rsidRDefault="00B75C56" w:rsidP="004F2FF3">
      <w:pPr>
        <w:spacing w:before="288" w:after="100" w:afterAutospacing="1" w:line="240" w:lineRule="auto"/>
        <w:jc w:val="both"/>
        <w:rPr>
          <w:rFonts w:ascii="Times New Roman" w:eastAsia="Times New Roman" w:hAnsi="Times New Roman" w:cs="Times New Roman"/>
          <w:b/>
          <w:sz w:val="24"/>
          <w:szCs w:val="24"/>
          <w:lang w:eastAsia="pt-BR"/>
        </w:rPr>
      </w:pPr>
      <w:r w:rsidRPr="004F2FF3">
        <w:rPr>
          <w:rFonts w:ascii="Arial" w:eastAsia="Times New Roman" w:hAnsi="Arial" w:cs="Arial"/>
          <w:sz w:val="20"/>
          <w:szCs w:val="20"/>
          <w:lang w:eastAsia="pt-BR"/>
        </w:rPr>
        <w:t xml:space="preserve">Em relação ao segmento de renda variável, cuja limitação legal estabelece que os recursos alocados nos investimentos, cumulativamente, não deverão exceder a 30% (trinta por cento) da totalidade dos recursos em moeda corrente, o </w:t>
      </w:r>
      <w:r w:rsidRPr="004F2FF3">
        <w:rPr>
          <w:rFonts w:ascii="Arial" w:eastAsia="Times New Roman" w:hAnsi="Arial" w:cs="Arial"/>
          <w:b/>
          <w:bCs/>
          <w:sz w:val="20"/>
          <w:szCs w:val="20"/>
          <w:lang w:eastAsia="pt-BR"/>
        </w:rPr>
        <w:t>FUNDO MUNICIPAL DE APOSENTADORIA E PENSÃO DE FERNÃO</w:t>
      </w:r>
      <w:r w:rsidRPr="004F2FF3">
        <w:rPr>
          <w:rFonts w:ascii="Arial" w:eastAsia="Times New Roman" w:hAnsi="Arial" w:cs="Arial"/>
          <w:sz w:val="20"/>
          <w:szCs w:val="20"/>
          <w:lang w:eastAsia="pt-BR"/>
        </w:rPr>
        <w:t xml:space="preserve"> </w:t>
      </w:r>
      <w:r w:rsidRPr="003B2292">
        <w:rPr>
          <w:rFonts w:ascii="Arial" w:eastAsia="Times New Roman" w:hAnsi="Arial" w:cs="Arial"/>
          <w:b/>
          <w:sz w:val="20"/>
          <w:szCs w:val="20"/>
          <w:lang w:eastAsia="pt-BR"/>
        </w:rPr>
        <w:t xml:space="preserve">propõe adotar o limite máximo de </w:t>
      </w:r>
      <w:r w:rsidR="003B2292">
        <w:rPr>
          <w:rFonts w:ascii="Arial" w:eastAsia="Times New Roman" w:hAnsi="Arial" w:cs="Arial"/>
          <w:b/>
          <w:sz w:val="20"/>
          <w:szCs w:val="20"/>
          <w:lang w:eastAsia="pt-BR"/>
        </w:rPr>
        <w:t>3</w:t>
      </w:r>
      <w:r w:rsidR="004F2FF3" w:rsidRPr="003B2292">
        <w:rPr>
          <w:rFonts w:ascii="Arial" w:eastAsia="Times New Roman" w:hAnsi="Arial" w:cs="Arial"/>
          <w:b/>
          <w:sz w:val="20"/>
          <w:szCs w:val="20"/>
          <w:lang w:eastAsia="pt-BR"/>
        </w:rPr>
        <w:t>0,00</w:t>
      </w:r>
      <w:r w:rsidRPr="003B2292">
        <w:rPr>
          <w:rFonts w:ascii="Arial" w:eastAsia="Times New Roman" w:hAnsi="Arial" w:cs="Arial"/>
          <w:b/>
          <w:sz w:val="20"/>
          <w:szCs w:val="20"/>
          <w:lang w:eastAsia="pt-BR"/>
        </w:rPr>
        <w:t>%</w:t>
      </w:r>
      <w:r w:rsidR="004F2FF3" w:rsidRPr="003B2292">
        <w:rPr>
          <w:rFonts w:ascii="Arial" w:eastAsia="Times New Roman" w:hAnsi="Arial" w:cs="Arial"/>
          <w:b/>
          <w:sz w:val="20"/>
          <w:szCs w:val="20"/>
          <w:lang w:eastAsia="pt-BR"/>
        </w:rPr>
        <w:t xml:space="preserve"> </w:t>
      </w:r>
      <w:r w:rsidRPr="003B2292">
        <w:rPr>
          <w:rFonts w:ascii="Arial" w:eastAsia="Times New Roman" w:hAnsi="Arial" w:cs="Arial"/>
          <w:b/>
          <w:sz w:val="20"/>
          <w:szCs w:val="20"/>
          <w:lang w:eastAsia="pt-BR"/>
        </w:rPr>
        <w:t>(</w:t>
      </w:r>
      <w:r w:rsidR="003B2292">
        <w:rPr>
          <w:rFonts w:ascii="Arial" w:eastAsia="Times New Roman" w:hAnsi="Arial" w:cs="Arial"/>
          <w:b/>
          <w:sz w:val="20"/>
          <w:szCs w:val="20"/>
          <w:lang w:eastAsia="pt-BR"/>
        </w:rPr>
        <w:t>trinta</w:t>
      </w:r>
      <w:r w:rsidR="004F2FF3" w:rsidRPr="003B2292">
        <w:rPr>
          <w:rFonts w:ascii="Arial" w:eastAsia="Times New Roman" w:hAnsi="Arial" w:cs="Arial"/>
          <w:b/>
          <w:sz w:val="20"/>
          <w:szCs w:val="20"/>
          <w:lang w:eastAsia="pt-BR"/>
        </w:rPr>
        <w:t xml:space="preserve"> por cento</w:t>
      </w:r>
      <w:r w:rsidRPr="003B2292">
        <w:rPr>
          <w:rFonts w:ascii="Arial" w:eastAsia="Times New Roman" w:hAnsi="Arial" w:cs="Arial"/>
          <w:b/>
          <w:sz w:val="20"/>
          <w:szCs w:val="20"/>
          <w:lang w:eastAsia="pt-BR"/>
        </w:rPr>
        <w:t>) da totalidade dos investimentos</w:t>
      </w:r>
      <w:r w:rsidR="004F2FF3" w:rsidRPr="003B2292">
        <w:rPr>
          <w:rFonts w:ascii="Arial" w:eastAsia="Times New Roman" w:hAnsi="Arial" w:cs="Arial"/>
          <w:b/>
          <w:sz w:val="20"/>
          <w:szCs w:val="20"/>
          <w:lang w:eastAsia="pt-BR"/>
        </w:rPr>
        <w:t xml:space="preserve"> financeiros do RPPS</w:t>
      </w:r>
      <w:r w:rsidRPr="003B2292">
        <w:rPr>
          <w:rFonts w:ascii="Arial" w:eastAsia="Times New Roman" w:hAnsi="Arial" w:cs="Arial"/>
          <w:b/>
          <w:sz w:val="20"/>
          <w:szCs w:val="20"/>
          <w:lang w:eastAsia="pt-BR"/>
        </w:rPr>
        <w:t>.</w:t>
      </w:r>
    </w:p>
    <w:p w:rsidR="00B75C56" w:rsidRPr="004F2FF3" w:rsidRDefault="00B75C56" w:rsidP="004F2FF3">
      <w:pPr>
        <w:spacing w:before="288" w:after="100" w:afterAutospacing="1" w:line="240" w:lineRule="auto"/>
        <w:jc w:val="both"/>
        <w:rPr>
          <w:rFonts w:ascii="Times New Roman" w:eastAsia="Times New Roman" w:hAnsi="Times New Roman" w:cs="Times New Roman"/>
          <w:sz w:val="24"/>
          <w:szCs w:val="24"/>
          <w:lang w:eastAsia="pt-BR"/>
        </w:rPr>
      </w:pPr>
      <w:r w:rsidRPr="004F2FF3">
        <w:rPr>
          <w:rFonts w:ascii="Arial" w:eastAsia="Times New Roman" w:hAnsi="Arial" w:cs="Arial"/>
          <w:sz w:val="20"/>
          <w:szCs w:val="20"/>
          <w:lang w:eastAsia="pt-BR"/>
        </w:rPr>
        <w:t xml:space="preserve">São considerados como investimentos estruturados segundo Resolução CMN n° 3922/2010, os fundos de investimento classificados como </w:t>
      </w:r>
      <w:proofErr w:type="spellStart"/>
      <w:r w:rsidRPr="004F2FF3">
        <w:rPr>
          <w:rFonts w:ascii="Arial" w:eastAsia="Times New Roman" w:hAnsi="Arial" w:cs="Arial"/>
          <w:sz w:val="20"/>
          <w:szCs w:val="20"/>
          <w:lang w:eastAsia="pt-BR"/>
        </w:rPr>
        <w:t>multimercado</w:t>
      </w:r>
      <w:proofErr w:type="spellEnd"/>
      <w:r w:rsidRPr="004F2FF3">
        <w:rPr>
          <w:rFonts w:ascii="Arial" w:eastAsia="Times New Roman" w:hAnsi="Arial" w:cs="Arial"/>
          <w:sz w:val="20"/>
          <w:szCs w:val="20"/>
          <w:lang w:eastAsia="pt-BR"/>
        </w:rPr>
        <w:t xml:space="preserve">, os fundos de investimento em participações - </w:t>
      </w:r>
      <w:proofErr w:type="spellStart"/>
      <w:r w:rsidRPr="004F2FF3">
        <w:rPr>
          <w:rFonts w:ascii="Arial" w:eastAsia="Times New Roman" w:hAnsi="Arial" w:cs="Arial"/>
          <w:sz w:val="20"/>
          <w:szCs w:val="20"/>
          <w:lang w:eastAsia="pt-BR"/>
        </w:rPr>
        <w:t>FIPs</w:t>
      </w:r>
      <w:proofErr w:type="spellEnd"/>
      <w:r w:rsidRPr="004F2FF3">
        <w:rPr>
          <w:rFonts w:ascii="Arial" w:eastAsia="Times New Roman" w:hAnsi="Arial" w:cs="Arial"/>
          <w:sz w:val="20"/>
          <w:szCs w:val="20"/>
          <w:lang w:eastAsia="pt-BR"/>
        </w:rPr>
        <w:t xml:space="preserve"> e os fundos de investimento classificados como "Ações - Mercado de Acesso".</w:t>
      </w:r>
    </w:p>
    <w:p w:rsidR="00B75C56" w:rsidRPr="004F2FF3" w:rsidRDefault="00B75C56" w:rsidP="00B75C56">
      <w:pPr>
        <w:spacing w:before="100" w:beforeAutospacing="1" w:after="100" w:afterAutospacing="1" w:line="240" w:lineRule="auto"/>
        <w:outlineLvl w:val="1"/>
        <w:rPr>
          <w:rFonts w:ascii="Arial" w:eastAsia="Times New Roman" w:hAnsi="Arial" w:cs="Arial"/>
          <w:b/>
          <w:bCs/>
          <w:sz w:val="20"/>
          <w:szCs w:val="20"/>
          <w:lang w:eastAsia="pt-BR"/>
        </w:rPr>
      </w:pPr>
      <w:bookmarkStart w:id="55" w:name="_Toc20130600"/>
      <w:r w:rsidRPr="004F2FF3">
        <w:rPr>
          <w:rFonts w:ascii="Arial" w:eastAsia="Times New Roman" w:hAnsi="Arial" w:cs="Arial"/>
          <w:b/>
          <w:bCs/>
          <w:sz w:val="20"/>
          <w:szCs w:val="20"/>
          <w:lang w:eastAsia="pt-BR"/>
        </w:rPr>
        <w:t>5.3      SEGMENTO DE INVESTIMENTOS NO EXTERIOR</w:t>
      </w:r>
      <w:bookmarkEnd w:id="55"/>
    </w:p>
    <w:p w:rsidR="00B75C56" w:rsidRPr="003B2292" w:rsidRDefault="00B75C56" w:rsidP="004F2FF3">
      <w:pPr>
        <w:spacing w:before="240" w:after="100" w:afterAutospacing="1" w:line="240" w:lineRule="auto"/>
        <w:jc w:val="both"/>
        <w:rPr>
          <w:rFonts w:ascii="Times New Roman" w:eastAsia="Times New Roman" w:hAnsi="Times New Roman" w:cs="Times New Roman"/>
          <w:color w:val="FF0000"/>
          <w:sz w:val="24"/>
          <w:szCs w:val="24"/>
          <w:lang w:eastAsia="pt-BR"/>
        </w:rPr>
      </w:pPr>
      <w:r w:rsidRPr="004F2FF3">
        <w:rPr>
          <w:rFonts w:ascii="Arial" w:eastAsia="Times New Roman" w:hAnsi="Arial" w:cs="Arial"/>
          <w:sz w:val="20"/>
          <w:szCs w:val="20"/>
          <w:lang w:eastAsia="pt-BR"/>
        </w:rPr>
        <w:t xml:space="preserve">No segmento classificado como "investimento no exterior", cuja limitação legal estabelece que os recursos alocados nos investimentos, cumulativamente, não deverão exceder a 10% (dez por cento) da totalidade dos recursos em moeda corrente e, portanto, o </w:t>
      </w:r>
      <w:r w:rsidRPr="004F2FF3">
        <w:rPr>
          <w:rFonts w:ascii="Arial" w:eastAsia="Times New Roman" w:hAnsi="Arial" w:cs="Arial"/>
          <w:b/>
          <w:bCs/>
          <w:sz w:val="20"/>
          <w:szCs w:val="20"/>
          <w:lang w:eastAsia="pt-BR"/>
        </w:rPr>
        <w:t>FUNDO MUNICIPAL DE</w:t>
      </w:r>
      <w:r w:rsidRPr="00B75C56">
        <w:rPr>
          <w:rFonts w:ascii="Arial" w:eastAsia="Times New Roman" w:hAnsi="Arial" w:cs="Arial"/>
          <w:b/>
          <w:bCs/>
          <w:color w:val="FF0000"/>
          <w:sz w:val="20"/>
          <w:szCs w:val="20"/>
          <w:lang w:eastAsia="pt-BR"/>
        </w:rPr>
        <w:t xml:space="preserve"> </w:t>
      </w:r>
      <w:r w:rsidRPr="00C647B0">
        <w:rPr>
          <w:rFonts w:ascii="Arial" w:eastAsia="Times New Roman" w:hAnsi="Arial" w:cs="Arial"/>
          <w:b/>
          <w:bCs/>
          <w:sz w:val="20"/>
          <w:szCs w:val="20"/>
          <w:lang w:eastAsia="pt-BR"/>
        </w:rPr>
        <w:t>APOSENTA</w:t>
      </w:r>
      <w:r w:rsidRPr="006A20CC">
        <w:rPr>
          <w:rFonts w:ascii="Arial" w:eastAsia="Times New Roman" w:hAnsi="Arial" w:cs="Arial"/>
          <w:b/>
          <w:bCs/>
          <w:sz w:val="20"/>
          <w:szCs w:val="20"/>
          <w:lang w:eastAsia="pt-BR"/>
        </w:rPr>
        <w:t>DORIA E PENSÃO DE FERNÃO</w:t>
      </w:r>
      <w:r w:rsidR="006A20CC" w:rsidRPr="006A20CC">
        <w:rPr>
          <w:rFonts w:ascii="Arial" w:eastAsia="Times New Roman" w:hAnsi="Arial" w:cs="Arial"/>
          <w:b/>
          <w:bCs/>
          <w:sz w:val="20"/>
          <w:szCs w:val="20"/>
          <w:lang w:eastAsia="pt-BR"/>
        </w:rPr>
        <w:t xml:space="preserve">, </w:t>
      </w:r>
      <w:r w:rsidR="006A20CC" w:rsidRPr="006A20CC">
        <w:rPr>
          <w:rFonts w:ascii="Arial" w:eastAsia="Times New Roman" w:hAnsi="Arial" w:cs="Arial"/>
          <w:bCs/>
          <w:sz w:val="20"/>
          <w:szCs w:val="20"/>
          <w:lang w:eastAsia="pt-BR"/>
        </w:rPr>
        <w:t>a princ</w:t>
      </w:r>
      <w:r w:rsidR="006A20CC">
        <w:rPr>
          <w:rFonts w:ascii="Arial" w:eastAsia="Times New Roman" w:hAnsi="Arial" w:cs="Arial"/>
          <w:bCs/>
          <w:sz w:val="20"/>
          <w:szCs w:val="20"/>
          <w:lang w:eastAsia="pt-BR"/>
        </w:rPr>
        <w:t>í</w:t>
      </w:r>
      <w:r w:rsidR="006A20CC" w:rsidRPr="006A20CC">
        <w:rPr>
          <w:rFonts w:ascii="Arial" w:eastAsia="Times New Roman" w:hAnsi="Arial" w:cs="Arial"/>
          <w:bCs/>
          <w:sz w:val="20"/>
          <w:szCs w:val="20"/>
          <w:lang w:eastAsia="pt-BR"/>
        </w:rPr>
        <w:t>pio,</w:t>
      </w:r>
      <w:r w:rsidRPr="006A20CC">
        <w:rPr>
          <w:rFonts w:ascii="Arial" w:eastAsia="Times New Roman" w:hAnsi="Arial" w:cs="Arial"/>
          <w:sz w:val="20"/>
          <w:szCs w:val="20"/>
          <w:lang w:eastAsia="pt-BR"/>
        </w:rPr>
        <w:t xml:space="preserve"> </w:t>
      </w:r>
      <w:r w:rsidR="006A20CC" w:rsidRPr="006A20CC">
        <w:rPr>
          <w:rFonts w:ascii="Arial" w:eastAsia="Times New Roman" w:hAnsi="Arial" w:cs="Arial"/>
          <w:sz w:val="20"/>
          <w:szCs w:val="20"/>
          <w:lang w:eastAsia="pt-BR"/>
        </w:rPr>
        <w:t xml:space="preserve">não alocará nenhum percentual de </w:t>
      </w:r>
      <w:r w:rsidR="006A20CC" w:rsidRPr="006A20CC">
        <w:rPr>
          <w:rFonts w:ascii="Arial" w:eastAsia="Times New Roman" w:hAnsi="Arial" w:cs="Arial"/>
          <w:sz w:val="20"/>
          <w:szCs w:val="20"/>
          <w:lang w:eastAsia="pt-BR"/>
        </w:rPr>
        <w:lastRenderedPageBreak/>
        <w:t xml:space="preserve">recursos nesse segmento, haja vista a possibilidade de serem investidos em papéis exclusivamente nacionais.  </w:t>
      </w:r>
      <w:r w:rsidRPr="003B2292">
        <w:rPr>
          <w:rFonts w:ascii="Arial" w:eastAsia="Times New Roman" w:hAnsi="Arial" w:cs="Arial"/>
          <w:color w:val="FF0000"/>
          <w:sz w:val="20"/>
          <w:szCs w:val="20"/>
          <w:lang w:eastAsia="pt-BR"/>
        </w:rPr>
        <w:t xml:space="preserve"> </w:t>
      </w:r>
    </w:p>
    <w:p w:rsidR="00B75C56" w:rsidRPr="00C647B0" w:rsidRDefault="00B75C56" w:rsidP="00C647B0">
      <w:pPr>
        <w:spacing w:before="240" w:after="100" w:afterAutospacing="1" w:line="240" w:lineRule="auto"/>
        <w:jc w:val="both"/>
        <w:rPr>
          <w:rFonts w:ascii="Times New Roman" w:eastAsia="Times New Roman" w:hAnsi="Times New Roman" w:cs="Times New Roman"/>
          <w:sz w:val="24"/>
          <w:szCs w:val="24"/>
          <w:lang w:eastAsia="pt-BR"/>
        </w:rPr>
      </w:pPr>
      <w:r w:rsidRPr="00C647B0">
        <w:rPr>
          <w:rFonts w:ascii="Arial" w:eastAsia="Times New Roman" w:hAnsi="Arial" w:cs="Arial"/>
          <w:sz w:val="20"/>
          <w:szCs w:val="20"/>
          <w:lang w:eastAsia="pt-BR"/>
        </w:rPr>
        <w:t xml:space="preserve">Deverão ser considerados que os fundos de investimentos constituídos no exterior possuam histórico de 12 (doze) meses e que seus gestores estejam em atividade há mais de </w:t>
      </w:r>
      <w:proofErr w:type="gramStart"/>
      <w:r w:rsidRPr="00C647B0">
        <w:rPr>
          <w:rFonts w:ascii="Arial" w:eastAsia="Times New Roman" w:hAnsi="Arial" w:cs="Arial"/>
          <w:sz w:val="20"/>
          <w:szCs w:val="20"/>
          <w:lang w:eastAsia="pt-BR"/>
        </w:rPr>
        <w:t>5</w:t>
      </w:r>
      <w:proofErr w:type="gramEnd"/>
      <w:r w:rsidRPr="00C647B0">
        <w:rPr>
          <w:rFonts w:ascii="Arial" w:eastAsia="Times New Roman" w:hAnsi="Arial" w:cs="Arial"/>
          <w:sz w:val="20"/>
          <w:szCs w:val="20"/>
          <w:lang w:eastAsia="pt-BR"/>
        </w:rPr>
        <w:t xml:space="preserve"> (cinco) anos e administrem o montante de recursos de terceiros equivalente a US$ 5 bilhões de dólares na data do aporte.</w:t>
      </w:r>
    </w:p>
    <w:p w:rsidR="00B75C56" w:rsidRPr="00C647B0" w:rsidRDefault="00B75C56" w:rsidP="00B75C56">
      <w:pPr>
        <w:spacing w:before="100" w:beforeAutospacing="1" w:after="100" w:afterAutospacing="1" w:line="240" w:lineRule="auto"/>
        <w:outlineLvl w:val="1"/>
        <w:rPr>
          <w:rFonts w:ascii="Arial" w:eastAsia="Times New Roman" w:hAnsi="Arial" w:cs="Arial"/>
          <w:b/>
          <w:bCs/>
          <w:sz w:val="20"/>
          <w:szCs w:val="20"/>
          <w:lang w:eastAsia="pt-BR"/>
        </w:rPr>
      </w:pPr>
      <w:bookmarkStart w:id="56" w:name="_Toc20130601"/>
      <w:r w:rsidRPr="00C647B0">
        <w:rPr>
          <w:rFonts w:ascii="Arial" w:eastAsia="Times New Roman" w:hAnsi="Arial" w:cs="Arial"/>
          <w:b/>
          <w:bCs/>
          <w:sz w:val="20"/>
          <w:szCs w:val="20"/>
          <w:lang w:eastAsia="pt-BR"/>
        </w:rPr>
        <w:t>5.4      LIMITES GERAIS</w:t>
      </w:r>
      <w:bookmarkEnd w:id="56"/>
    </w:p>
    <w:p w:rsidR="00B75C56" w:rsidRPr="00C647B0" w:rsidRDefault="00B75C56" w:rsidP="00C647B0">
      <w:pPr>
        <w:spacing w:before="240" w:after="100" w:afterAutospacing="1" w:line="240" w:lineRule="auto"/>
        <w:jc w:val="both"/>
        <w:rPr>
          <w:rFonts w:ascii="Times New Roman" w:eastAsia="Times New Roman" w:hAnsi="Times New Roman" w:cs="Times New Roman"/>
          <w:sz w:val="24"/>
          <w:szCs w:val="24"/>
          <w:lang w:eastAsia="pt-BR"/>
        </w:rPr>
      </w:pPr>
      <w:r w:rsidRPr="00C647B0">
        <w:rPr>
          <w:rFonts w:ascii="Arial" w:eastAsia="Times New Roman" w:hAnsi="Arial" w:cs="Arial"/>
          <w:sz w:val="20"/>
          <w:szCs w:val="20"/>
          <w:lang w:eastAsia="pt-BR"/>
        </w:rPr>
        <w:t xml:space="preserve">No acompanhamento dos limites gerais da carteira de investimentos do </w:t>
      </w:r>
      <w:r w:rsidRPr="00C647B0">
        <w:rPr>
          <w:rFonts w:ascii="Arial" w:eastAsia="Times New Roman" w:hAnsi="Arial" w:cs="Arial"/>
          <w:b/>
          <w:bCs/>
          <w:sz w:val="20"/>
          <w:szCs w:val="20"/>
          <w:lang w:eastAsia="pt-BR"/>
        </w:rPr>
        <w:t>FUNDO MUNICIPAL DE APOSENTADORIA E PENSÃO DE FERNÃO</w:t>
      </w:r>
      <w:r w:rsidRPr="00C647B0">
        <w:rPr>
          <w:rFonts w:ascii="Arial" w:eastAsia="Times New Roman" w:hAnsi="Arial" w:cs="Arial"/>
          <w:sz w:val="20"/>
          <w:szCs w:val="20"/>
          <w:lang w:eastAsia="pt-BR"/>
        </w:rPr>
        <w:t xml:space="preserve">, em atendimento aos limites aqui estabelecidos e da Resolução CMN n° 3.922/2010, serão consolidadas as posições das aplicações dos recursos realizados direta e indiretamente por meio de fundos de </w:t>
      </w:r>
      <w:r w:rsidR="00C647B0" w:rsidRPr="00C647B0">
        <w:rPr>
          <w:rFonts w:ascii="Arial" w:eastAsia="Times New Roman" w:hAnsi="Arial" w:cs="Arial"/>
          <w:sz w:val="20"/>
          <w:szCs w:val="20"/>
          <w:lang w:eastAsia="pt-BR"/>
        </w:rPr>
        <w:t>investimento</w:t>
      </w:r>
      <w:r w:rsidRPr="00C647B0">
        <w:rPr>
          <w:rFonts w:ascii="Arial" w:eastAsia="Times New Roman" w:hAnsi="Arial" w:cs="Arial"/>
          <w:sz w:val="20"/>
          <w:szCs w:val="20"/>
          <w:lang w:eastAsia="pt-BR"/>
        </w:rPr>
        <w:t xml:space="preserve"> em cotas de fundos de investimentos.</w:t>
      </w:r>
    </w:p>
    <w:p w:rsidR="00B75C56" w:rsidRPr="00C647B0" w:rsidRDefault="00B75C56" w:rsidP="00FA38AC">
      <w:pPr>
        <w:spacing w:before="240" w:after="100" w:afterAutospacing="1" w:line="240" w:lineRule="auto"/>
        <w:jc w:val="both"/>
        <w:rPr>
          <w:rFonts w:ascii="Times New Roman" w:eastAsia="Times New Roman" w:hAnsi="Times New Roman" w:cs="Times New Roman"/>
          <w:sz w:val="24"/>
          <w:szCs w:val="24"/>
          <w:lang w:eastAsia="pt-BR"/>
        </w:rPr>
      </w:pPr>
      <w:r w:rsidRPr="00C647B0">
        <w:rPr>
          <w:rFonts w:ascii="Arial" w:eastAsia="Times New Roman" w:hAnsi="Arial" w:cs="Arial"/>
          <w:sz w:val="20"/>
          <w:szCs w:val="20"/>
          <w:lang w:eastAsia="pt-BR"/>
        </w:rPr>
        <w:t>Os limites utilizados para investimentos em títulos e valores mobiliários de emissão ou coobrigação de uma mesma pessoa jurídica serão os mesmos dispostos na Resolução CMN nº 3.922/2010.</w:t>
      </w:r>
    </w:p>
    <w:p w:rsidR="00B75C56" w:rsidRPr="00FA38AC" w:rsidRDefault="00B75C56" w:rsidP="00FA38AC">
      <w:pPr>
        <w:spacing w:before="240" w:after="100" w:afterAutospacing="1" w:line="240" w:lineRule="auto"/>
        <w:jc w:val="both"/>
        <w:rPr>
          <w:rFonts w:ascii="Times New Roman" w:eastAsia="Times New Roman" w:hAnsi="Times New Roman" w:cs="Times New Roman"/>
          <w:sz w:val="24"/>
          <w:szCs w:val="24"/>
          <w:lang w:eastAsia="pt-BR"/>
        </w:rPr>
      </w:pPr>
      <w:r w:rsidRPr="00FA38AC">
        <w:rPr>
          <w:rFonts w:ascii="Arial" w:eastAsia="Times New Roman" w:hAnsi="Arial" w:cs="Arial"/>
          <w:sz w:val="20"/>
          <w:szCs w:val="20"/>
          <w:lang w:eastAsia="pt-BR"/>
        </w:rPr>
        <w:t>No que tange ao limite geral de exposição por fundos de investimentos e em cotas de fundos de investimentos,</w:t>
      </w:r>
      <w:r w:rsidRPr="00FA38AC">
        <w:rPr>
          <w:rFonts w:ascii="Times New Roman" w:eastAsia="Times New Roman" w:hAnsi="Times New Roman" w:cs="Times New Roman"/>
          <w:sz w:val="24"/>
          <w:szCs w:val="24"/>
          <w:lang w:eastAsia="pt-BR"/>
        </w:rPr>
        <w:t xml:space="preserve"> </w:t>
      </w:r>
      <w:r w:rsidRPr="00FA38AC">
        <w:rPr>
          <w:rFonts w:ascii="Arial" w:eastAsia="Times New Roman" w:hAnsi="Arial" w:cs="Arial"/>
          <w:sz w:val="20"/>
          <w:szCs w:val="20"/>
          <w:lang w:eastAsia="pt-BR"/>
        </w:rPr>
        <w:t xml:space="preserve">fica o </w:t>
      </w:r>
      <w:r w:rsidRPr="00FA38AC">
        <w:rPr>
          <w:rFonts w:ascii="Arial" w:eastAsia="Times New Roman" w:hAnsi="Arial" w:cs="Arial"/>
          <w:b/>
          <w:bCs/>
          <w:sz w:val="20"/>
          <w:szCs w:val="20"/>
          <w:lang w:eastAsia="pt-BR"/>
        </w:rPr>
        <w:t>FUNDO MUNICIPAL DE APOSENTADORIA E PENSÃO DE FERNÃO</w:t>
      </w:r>
      <w:r w:rsidRPr="00FA38AC">
        <w:rPr>
          <w:rFonts w:ascii="Arial" w:eastAsia="Times New Roman" w:hAnsi="Arial" w:cs="Arial"/>
          <w:sz w:val="20"/>
          <w:szCs w:val="20"/>
          <w:lang w:eastAsia="pt-BR"/>
        </w:rPr>
        <w:t xml:space="preserve"> limitado a 20% de exposição, com exceção dada aos fundos de investimentos enquadrados no Art. 7º, inciso "b" da Resolução CMN nº 3.922/2010.</w:t>
      </w:r>
    </w:p>
    <w:p w:rsidR="00B75C56" w:rsidRPr="00FA38AC" w:rsidRDefault="00B75C56" w:rsidP="00FA38AC">
      <w:pPr>
        <w:spacing w:before="240" w:after="100" w:afterAutospacing="1" w:line="240" w:lineRule="auto"/>
        <w:jc w:val="both"/>
        <w:rPr>
          <w:rFonts w:ascii="Times New Roman" w:eastAsia="Times New Roman" w:hAnsi="Times New Roman" w:cs="Times New Roman"/>
          <w:sz w:val="24"/>
          <w:szCs w:val="24"/>
          <w:lang w:eastAsia="pt-BR"/>
        </w:rPr>
      </w:pPr>
      <w:r w:rsidRPr="00FA38AC">
        <w:rPr>
          <w:rFonts w:ascii="Arial" w:eastAsia="Times New Roman" w:hAnsi="Arial" w:cs="Arial"/>
          <w:sz w:val="20"/>
          <w:szCs w:val="20"/>
          <w:lang w:eastAsia="pt-BR"/>
        </w:rPr>
        <w:t xml:space="preserve">A exposição do total das aplicações dos recursos do </w:t>
      </w:r>
      <w:r w:rsidRPr="00FA38AC">
        <w:rPr>
          <w:rFonts w:ascii="Arial" w:eastAsia="Times New Roman" w:hAnsi="Arial" w:cs="Arial"/>
          <w:b/>
          <w:bCs/>
          <w:sz w:val="20"/>
          <w:szCs w:val="20"/>
          <w:lang w:eastAsia="pt-BR"/>
        </w:rPr>
        <w:t>FUNDO MUNICIPAL DE APOSENTADORIA E PENSÃO DE FERNÃO</w:t>
      </w:r>
      <w:r w:rsidRPr="00FA38AC">
        <w:rPr>
          <w:rFonts w:ascii="Arial" w:eastAsia="Times New Roman" w:hAnsi="Arial" w:cs="Arial"/>
          <w:sz w:val="20"/>
          <w:szCs w:val="20"/>
          <w:lang w:eastAsia="pt-BR"/>
        </w:rPr>
        <w:t xml:space="preserve"> no patrimônio líquido de um mesmo fundo de investimento </w:t>
      </w:r>
      <w:proofErr w:type="gramStart"/>
      <w:r w:rsidR="00FA38AC" w:rsidRPr="00FA38AC">
        <w:rPr>
          <w:rFonts w:ascii="Arial" w:eastAsia="Times New Roman" w:hAnsi="Arial" w:cs="Arial"/>
          <w:sz w:val="20"/>
          <w:szCs w:val="20"/>
          <w:lang w:eastAsia="pt-BR"/>
        </w:rPr>
        <w:t>limitar-se-ão</w:t>
      </w:r>
      <w:proofErr w:type="gramEnd"/>
      <w:r w:rsidRPr="00FA38AC">
        <w:rPr>
          <w:rFonts w:ascii="Arial" w:eastAsia="Times New Roman" w:hAnsi="Arial" w:cs="Arial"/>
          <w:sz w:val="20"/>
          <w:szCs w:val="20"/>
          <w:lang w:eastAsia="pt-BR"/>
        </w:rPr>
        <w:t xml:space="preserve"> em 15% (quinze por cento). Para os fundos de investimentos classificados como FIDC - Fundos de Investimentos em Direitos Creditórios, Crédito Privado, FI de </w:t>
      </w:r>
      <w:proofErr w:type="spellStart"/>
      <w:r w:rsidRPr="00FA38AC">
        <w:rPr>
          <w:rFonts w:ascii="Arial" w:eastAsia="Times New Roman" w:hAnsi="Arial" w:cs="Arial"/>
          <w:sz w:val="20"/>
          <w:szCs w:val="20"/>
          <w:lang w:eastAsia="pt-BR"/>
        </w:rPr>
        <w:t>Infraestrutura</w:t>
      </w:r>
      <w:proofErr w:type="spellEnd"/>
      <w:r w:rsidRPr="00FA38AC">
        <w:rPr>
          <w:rFonts w:ascii="Arial" w:eastAsia="Times New Roman" w:hAnsi="Arial" w:cs="Arial"/>
          <w:sz w:val="20"/>
          <w:szCs w:val="20"/>
          <w:lang w:eastAsia="pt-BR"/>
        </w:rPr>
        <w:t xml:space="preserve">, </w:t>
      </w:r>
      <w:proofErr w:type="spellStart"/>
      <w:r w:rsidRPr="00FA38AC">
        <w:rPr>
          <w:rFonts w:ascii="Arial" w:eastAsia="Times New Roman" w:hAnsi="Arial" w:cs="Arial"/>
          <w:sz w:val="20"/>
          <w:szCs w:val="20"/>
          <w:lang w:eastAsia="pt-BR"/>
        </w:rPr>
        <w:t>Multimercado</w:t>
      </w:r>
      <w:proofErr w:type="spellEnd"/>
      <w:r w:rsidRPr="00FA38AC">
        <w:rPr>
          <w:rFonts w:ascii="Arial" w:eastAsia="Times New Roman" w:hAnsi="Arial" w:cs="Arial"/>
          <w:sz w:val="20"/>
          <w:szCs w:val="20"/>
          <w:lang w:eastAsia="pt-BR"/>
        </w:rPr>
        <w:t xml:space="preserve">, FIP - Fundo de Investimento em Participações, FII - Fundo de Investimento Imobiliário e Fundos de Investimento em Ações - Mercado de Acesso, a exposição no patrimônio líquido de em um mesmo fundo de investimento limitar-se-ão </w:t>
      </w:r>
      <w:proofErr w:type="gramStart"/>
      <w:r w:rsidRPr="00FA38AC">
        <w:rPr>
          <w:rFonts w:ascii="Arial" w:eastAsia="Times New Roman" w:hAnsi="Arial" w:cs="Arial"/>
          <w:sz w:val="20"/>
          <w:szCs w:val="20"/>
          <w:lang w:eastAsia="pt-BR"/>
        </w:rPr>
        <w:t>à</w:t>
      </w:r>
      <w:proofErr w:type="gramEnd"/>
      <w:r w:rsidRPr="00FA38AC">
        <w:rPr>
          <w:rFonts w:ascii="Arial" w:eastAsia="Times New Roman" w:hAnsi="Arial" w:cs="Arial"/>
          <w:sz w:val="20"/>
          <w:szCs w:val="20"/>
          <w:lang w:eastAsia="pt-BR"/>
        </w:rPr>
        <w:t xml:space="preserve"> 5% (cinco por cento).</w:t>
      </w:r>
    </w:p>
    <w:p w:rsidR="00B75C56" w:rsidRPr="00FA38AC" w:rsidRDefault="00B75C56" w:rsidP="00FA38AC">
      <w:pPr>
        <w:spacing w:before="240" w:after="100" w:afterAutospacing="1" w:line="240" w:lineRule="auto"/>
        <w:jc w:val="both"/>
        <w:rPr>
          <w:rFonts w:ascii="Times New Roman" w:eastAsia="Times New Roman" w:hAnsi="Times New Roman" w:cs="Times New Roman"/>
          <w:sz w:val="24"/>
          <w:szCs w:val="24"/>
          <w:lang w:eastAsia="pt-BR"/>
        </w:rPr>
      </w:pPr>
      <w:r w:rsidRPr="00FA38AC">
        <w:rPr>
          <w:rFonts w:ascii="Arial" w:eastAsia="Times New Roman" w:hAnsi="Arial" w:cs="Arial"/>
          <w:sz w:val="20"/>
          <w:szCs w:val="20"/>
          <w:lang w:eastAsia="pt-BR"/>
        </w:rPr>
        <w:t>Na obtenção da Certificação Institucional Pró-Gestão, os limites definidos nesta Política de Investimentos serão elevados gradativamente de acordo com o nível conquistado em consonância com o disposto no art. 7º, parágrafo 10º e art. 8º, parágrafo 9º da Resolução CMN nº 3.922/2010.</w:t>
      </w:r>
    </w:p>
    <w:p w:rsidR="00B75C56" w:rsidRPr="00FA38AC" w:rsidRDefault="00B75C56" w:rsidP="00FA38AC">
      <w:pPr>
        <w:spacing w:before="240" w:after="100" w:afterAutospacing="1" w:line="240" w:lineRule="auto"/>
        <w:jc w:val="both"/>
        <w:rPr>
          <w:rFonts w:ascii="Times New Roman" w:eastAsia="Times New Roman" w:hAnsi="Times New Roman" w:cs="Times New Roman"/>
          <w:sz w:val="24"/>
          <w:szCs w:val="24"/>
          <w:lang w:eastAsia="pt-BR"/>
        </w:rPr>
      </w:pPr>
      <w:r w:rsidRPr="00FA38AC">
        <w:rPr>
          <w:rFonts w:ascii="Arial" w:eastAsia="Times New Roman" w:hAnsi="Arial" w:cs="Arial"/>
          <w:sz w:val="20"/>
          <w:szCs w:val="20"/>
          <w:lang w:eastAsia="pt-BR"/>
        </w:rPr>
        <w:t xml:space="preserve">Em eventual </w:t>
      </w:r>
      <w:proofErr w:type="spellStart"/>
      <w:r w:rsidRPr="00FA38AC">
        <w:rPr>
          <w:rFonts w:ascii="Arial" w:eastAsia="Times New Roman" w:hAnsi="Arial" w:cs="Arial"/>
          <w:sz w:val="20"/>
          <w:szCs w:val="20"/>
          <w:lang w:eastAsia="pt-BR"/>
        </w:rPr>
        <w:t>desenquadramento</w:t>
      </w:r>
      <w:proofErr w:type="spellEnd"/>
      <w:r w:rsidRPr="00FA38AC">
        <w:rPr>
          <w:rFonts w:ascii="Arial" w:eastAsia="Times New Roman" w:hAnsi="Arial" w:cs="Arial"/>
          <w:sz w:val="20"/>
          <w:szCs w:val="20"/>
          <w:lang w:eastAsia="pt-BR"/>
        </w:rPr>
        <w:t xml:space="preserve"> dos limites aqui definidos, o Comitê de Investimentos juntamente com o Gestor dos Recursos, deverão se </w:t>
      </w:r>
      <w:proofErr w:type="gramStart"/>
      <w:r w:rsidRPr="00FA38AC">
        <w:rPr>
          <w:rFonts w:ascii="Arial" w:eastAsia="Times New Roman" w:hAnsi="Arial" w:cs="Arial"/>
          <w:sz w:val="20"/>
          <w:szCs w:val="20"/>
          <w:lang w:eastAsia="pt-BR"/>
        </w:rPr>
        <w:t>ater</w:t>
      </w:r>
      <w:proofErr w:type="gramEnd"/>
      <w:r w:rsidRPr="00FA38AC">
        <w:rPr>
          <w:rFonts w:ascii="Arial" w:eastAsia="Times New Roman" w:hAnsi="Arial" w:cs="Arial"/>
          <w:sz w:val="20"/>
          <w:szCs w:val="20"/>
          <w:lang w:eastAsia="pt-BR"/>
        </w:rPr>
        <w:t xml:space="preserve"> as Políticas de Contingência definidas nesta Política de Investimentos.</w:t>
      </w:r>
    </w:p>
    <w:p w:rsidR="00B75C56" w:rsidRPr="00FA38AC" w:rsidRDefault="00B75C56" w:rsidP="00B75C56">
      <w:pPr>
        <w:spacing w:before="100" w:beforeAutospacing="1" w:after="100" w:afterAutospacing="1" w:line="240" w:lineRule="auto"/>
        <w:outlineLvl w:val="1"/>
        <w:rPr>
          <w:rFonts w:ascii="Arial" w:eastAsia="Times New Roman" w:hAnsi="Arial" w:cs="Arial"/>
          <w:b/>
          <w:bCs/>
          <w:sz w:val="20"/>
          <w:szCs w:val="20"/>
          <w:lang w:eastAsia="pt-BR"/>
        </w:rPr>
      </w:pPr>
      <w:bookmarkStart w:id="57" w:name="_Toc20130602"/>
      <w:bookmarkStart w:id="58" w:name="_Toc490036550"/>
      <w:bookmarkStart w:id="59" w:name="_Toc496794768"/>
      <w:bookmarkStart w:id="60" w:name="_Toc496794769"/>
      <w:bookmarkStart w:id="61" w:name="_Toc496794770"/>
      <w:bookmarkStart w:id="62" w:name="_Toc496794771"/>
      <w:bookmarkStart w:id="63" w:name="_Toc496794772"/>
      <w:bookmarkEnd w:id="57"/>
      <w:bookmarkEnd w:id="58"/>
      <w:bookmarkEnd w:id="59"/>
      <w:bookmarkEnd w:id="60"/>
      <w:bookmarkEnd w:id="61"/>
      <w:bookmarkEnd w:id="62"/>
      <w:bookmarkEnd w:id="63"/>
      <w:r w:rsidRPr="00FA38AC">
        <w:rPr>
          <w:rFonts w:ascii="Arial" w:eastAsia="Times New Roman" w:hAnsi="Arial" w:cs="Arial"/>
          <w:b/>
          <w:bCs/>
          <w:sz w:val="20"/>
          <w:szCs w:val="20"/>
          <w:lang w:eastAsia="pt-BR"/>
        </w:rPr>
        <w:t>5.5</w:t>
      </w:r>
      <w:proofErr w:type="gramStart"/>
      <w:r w:rsidRPr="00FA38AC">
        <w:rPr>
          <w:rFonts w:ascii="Arial" w:eastAsia="Times New Roman" w:hAnsi="Arial" w:cs="Arial"/>
          <w:b/>
          <w:bCs/>
          <w:sz w:val="20"/>
          <w:szCs w:val="20"/>
          <w:lang w:eastAsia="pt-BR"/>
        </w:rPr>
        <w:t xml:space="preserve">  </w:t>
      </w:r>
      <w:proofErr w:type="gramEnd"/>
      <w:r w:rsidRPr="00FA38AC">
        <w:rPr>
          <w:rFonts w:ascii="Arial" w:eastAsia="Times New Roman" w:hAnsi="Arial" w:cs="Arial"/>
          <w:b/>
          <w:bCs/>
          <w:sz w:val="20"/>
          <w:szCs w:val="20"/>
          <w:lang w:eastAsia="pt-BR"/>
        </w:rPr>
        <w:t>     ENQUADRAMENTO</w:t>
      </w:r>
    </w:p>
    <w:p w:rsidR="00B75C56" w:rsidRPr="00FA38AC" w:rsidRDefault="00B75C56" w:rsidP="00FA38AC">
      <w:pPr>
        <w:spacing w:before="240" w:after="100" w:afterAutospacing="1" w:line="240" w:lineRule="auto"/>
        <w:jc w:val="both"/>
        <w:rPr>
          <w:rFonts w:ascii="Times New Roman" w:eastAsia="Times New Roman" w:hAnsi="Times New Roman" w:cs="Times New Roman"/>
          <w:sz w:val="24"/>
          <w:szCs w:val="24"/>
          <w:lang w:eastAsia="pt-BR"/>
        </w:rPr>
      </w:pPr>
      <w:r w:rsidRPr="00FA38AC">
        <w:rPr>
          <w:rFonts w:ascii="Arial" w:eastAsia="Times New Roman" w:hAnsi="Arial" w:cs="Arial"/>
          <w:sz w:val="20"/>
          <w:szCs w:val="20"/>
          <w:lang w:eastAsia="pt-BR"/>
        </w:rPr>
        <w:t xml:space="preserve">O </w:t>
      </w:r>
      <w:r w:rsidRPr="00FA38AC">
        <w:rPr>
          <w:rFonts w:ascii="Arial" w:eastAsia="Times New Roman" w:hAnsi="Arial" w:cs="Arial"/>
          <w:b/>
          <w:bCs/>
          <w:sz w:val="20"/>
          <w:szCs w:val="20"/>
          <w:lang w:eastAsia="pt-BR"/>
        </w:rPr>
        <w:t>FUNDO MUNICIPAL DE APOSENTADORIA E PENSÃO DE FERNÃO</w:t>
      </w:r>
      <w:r w:rsidRPr="00FA38AC">
        <w:rPr>
          <w:rFonts w:ascii="Arial" w:eastAsia="Times New Roman" w:hAnsi="Arial" w:cs="Arial"/>
          <w:sz w:val="20"/>
          <w:szCs w:val="20"/>
          <w:lang w:eastAsia="pt-BR"/>
        </w:rPr>
        <w:t xml:space="preserve"> considera todos os limites estipulados de enquadramento na Resolução CMN n° 3.922/2010, e como entendimento complementar a Seção III, Subseção V dos Enquadramentos, destacamos:</w:t>
      </w:r>
    </w:p>
    <w:p w:rsidR="00B75C56" w:rsidRPr="00FA38AC" w:rsidRDefault="00B75C56" w:rsidP="00FA38AC">
      <w:pPr>
        <w:spacing w:before="240" w:after="100" w:afterAutospacing="1" w:line="240" w:lineRule="auto"/>
        <w:jc w:val="both"/>
        <w:rPr>
          <w:rFonts w:ascii="Times New Roman" w:eastAsia="Times New Roman" w:hAnsi="Times New Roman" w:cs="Times New Roman"/>
          <w:sz w:val="24"/>
          <w:szCs w:val="24"/>
          <w:lang w:eastAsia="pt-BR"/>
        </w:rPr>
      </w:pPr>
      <w:r w:rsidRPr="00FA38AC">
        <w:rPr>
          <w:rFonts w:ascii="Arial" w:eastAsia="Times New Roman" w:hAnsi="Arial" w:cs="Arial"/>
          <w:sz w:val="20"/>
          <w:szCs w:val="20"/>
          <w:lang w:eastAsia="pt-BR"/>
        </w:rPr>
        <w:t xml:space="preserve">a) Os investimentos que, em decorrência de alterações de novas exigências estipuladas pela Resolução CMN n° 3.922/2010, passarem a estar em desacordo com o estabelecido, o </w:t>
      </w:r>
      <w:r w:rsidRPr="00FA38AC">
        <w:rPr>
          <w:rFonts w:ascii="Arial" w:eastAsia="Times New Roman" w:hAnsi="Arial" w:cs="Arial"/>
          <w:b/>
          <w:bCs/>
          <w:sz w:val="20"/>
          <w:szCs w:val="20"/>
          <w:lang w:eastAsia="pt-BR"/>
        </w:rPr>
        <w:t>FUNDO MUNICIPAL DE APOSENTADORIA E PENSÃO DE FERNÃO</w:t>
      </w:r>
      <w:r w:rsidRPr="00FA38AC">
        <w:rPr>
          <w:rFonts w:ascii="Arial" w:eastAsia="Times New Roman" w:hAnsi="Arial" w:cs="Arial"/>
          <w:sz w:val="20"/>
          <w:szCs w:val="20"/>
          <w:lang w:eastAsia="pt-BR"/>
        </w:rPr>
        <w:t xml:space="preserve"> </w:t>
      </w:r>
      <w:proofErr w:type="gramStart"/>
      <w:r w:rsidRPr="00FA38AC">
        <w:rPr>
          <w:rFonts w:ascii="Arial" w:eastAsia="Times New Roman" w:hAnsi="Arial" w:cs="Arial"/>
          <w:sz w:val="20"/>
          <w:szCs w:val="20"/>
          <w:lang w:eastAsia="pt-BR"/>
        </w:rPr>
        <w:t>poderá</w:t>
      </w:r>
      <w:proofErr w:type="gramEnd"/>
      <w:r w:rsidRPr="00FA38AC">
        <w:rPr>
          <w:rFonts w:ascii="Arial" w:eastAsia="Times New Roman" w:hAnsi="Arial" w:cs="Arial"/>
          <w:sz w:val="20"/>
          <w:szCs w:val="20"/>
          <w:lang w:eastAsia="pt-BR"/>
        </w:rPr>
        <w:t xml:space="preserve"> mantê-las em carteira por até 180 dias.</w:t>
      </w:r>
    </w:p>
    <w:p w:rsidR="00B75C56" w:rsidRPr="00FA38AC" w:rsidRDefault="00B75C56" w:rsidP="00FA38AC">
      <w:pPr>
        <w:spacing w:before="288" w:after="0" w:line="240" w:lineRule="auto"/>
        <w:jc w:val="both"/>
        <w:rPr>
          <w:rFonts w:ascii="Times New Roman" w:eastAsia="Times New Roman" w:hAnsi="Times New Roman" w:cs="Times New Roman"/>
          <w:sz w:val="24"/>
          <w:szCs w:val="24"/>
          <w:lang w:eastAsia="pt-BR"/>
        </w:rPr>
      </w:pPr>
      <w:r w:rsidRPr="00FA38AC">
        <w:rPr>
          <w:rFonts w:ascii="Arial" w:eastAsia="Times New Roman" w:hAnsi="Arial" w:cs="Arial"/>
          <w:sz w:val="20"/>
          <w:szCs w:val="20"/>
          <w:lang w:eastAsia="pt-BR"/>
        </w:rPr>
        <w:t xml:space="preserve">b) Poderão ainda ser mantidas em carteira até a respectiva data de vencimento, as aplicações que apresentaram prazos de resgate, carência ou para conversão de cotas, sendo considerado </w:t>
      </w:r>
      <w:proofErr w:type="spellStart"/>
      <w:r w:rsidRPr="00FA38AC">
        <w:rPr>
          <w:rFonts w:ascii="Arial" w:eastAsia="Times New Roman" w:hAnsi="Arial" w:cs="Arial"/>
          <w:sz w:val="20"/>
          <w:szCs w:val="20"/>
          <w:lang w:eastAsia="pt-BR"/>
        </w:rPr>
        <w:t>infringências</w:t>
      </w:r>
      <w:proofErr w:type="spellEnd"/>
      <w:r w:rsidRPr="00FA38AC">
        <w:rPr>
          <w:rFonts w:ascii="Arial" w:eastAsia="Times New Roman" w:hAnsi="Arial" w:cs="Arial"/>
          <w:sz w:val="20"/>
          <w:szCs w:val="20"/>
          <w:lang w:eastAsia="pt-BR"/>
        </w:rPr>
        <w:t xml:space="preserve"> aportes adicionais.</w:t>
      </w:r>
    </w:p>
    <w:p w:rsidR="00B75C56" w:rsidRPr="009876FB" w:rsidRDefault="00B75C56" w:rsidP="009876FB">
      <w:pPr>
        <w:spacing w:before="288" w:after="100" w:afterAutospacing="1" w:line="240" w:lineRule="auto"/>
        <w:jc w:val="both"/>
        <w:rPr>
          <w:rFonts w:ascii="Times New Roman" w:eastAsia="Times New Roman" w:hAnsi="Times New Roman" w:cs="Times New Roman"/>
          <w:sz w:val="24"/>
          <w:szCs w:val="24"/>
          <w:lang w:eastAsia="pt-BR"/>
        </w:rPr>
      </w:pPr>
      <w:r w:rsidRPr="009876FB">
        <w:rPr>
          <w:rFonts w:ascii="Arial" w:eastAsia="Times New Roman" w:hAnsi="Arial" w:cs="Arial"/>
          <w:sz w:val="20"/>
          <w:szCs w:val="20"/>
          <w:lang w:eastAsia="pt-BR"/>
        </w:rPr>
        <w:lastRenderedPageBreak/>
        <w:t xml:space="preserve">Serão entendidos como </w:t>
      </w:r>
      <w:proofErr w:type="spellStart"/>
      <w:r w:rsidRPr="009876FB">
        <w:rPr>
          <w:rFonts w:ascii="Arial" w:eastAsia="Times New Roman" w:hAnsi="Arial" w:cs="Arial"/>
          <w:sz w:val="20"/>
          <w:szCs w:val="20"/>
          <w:lang w:eastAsia="pt-BR"/>
        </w:rPr>
        <w:t>desenquadramento</w:t>
      </w:r>
      <w:proofErr w:type="spellEnd"/>
      <w:r w:rsidRPr="009876FB">
        <w:rPr>
          <w:rFonts w:ascii="Arial" w:eastAsia="Times New Roman" w:hAnsi="Arial" w:cs="Arial"/>
          <w:sz w:val="20"/>
          <w:szCs w:val="20"/>
          <w:lang w:eastAsia="pt-BR"/>
        </w:rPr>
        <w:t xml:space="preserve"> passivo, os limites excedidos decorrentes de valorização e desvalorização dos ativos ou qualquer tipo de </w:t>
      </w:r>
      <w:proofErr w:type="spellStart"/>
      <w:r w:rsidRPr="009876FB">
        <w:rPr>
          <w:rFonts w:ascii="Arial" w:eastAsia="Times New Roman" w:hAnsi="Arial" w:cs="Arial"/>
          <w:sz w:val="20"/>
          <w:szCs w:val="20"/>
          <w:lang w:eastAsia="pt-BR"/>
        </w:rPr>
        <w:t>desenquadramento</w:t>
      </w:r>
      <w:proofErr w:type="spellEnd"/>
      <w:r w:rsidRPr="009876FB">
        <w:rPr>
          <w:rFonts w:ascii="Arial" w:eastAsia="Times New Roman" w:hAnsi="Arial" w:cs="Arial"/>
          <w:sz w:val="20"/>
          <w:szCs w:val="20"/>
          <w:lang w:eastAsia="pt-BR"/>
        </w:rPr>
        <w:t xml:space="preserve"> que não tenha sido resultado de ação direta do </w:t>
      </w:r>
      <w:r w:rsidRPr="009876FB">
        <w:rPr>
          <w:rFonts w:ascii="Arial" w:eastAsia="Times New Roman" w:hAnsi="Arial" w:cs="Arial"/>
          <w:b/>
          <w:bCs/>
          <w:sz w:val="20"/>
          <w:szCs w:val="20"/>
          <w:lang w:eastAsia="pt-BR"/>
        </w:rPr>
        <w:t>FUNDO MUNICIPAL DE APOSENTADORIA E PENSÃO DE FERNÃO</w:t>
      </w:r>
      <w:r w:rsidRPr="009876FB">
        <w:rPr>
          <w:rFonts w:ascii="Arial" w:eastAsia="Times New Roman" w:hAnsi="Arial" w:cs="Arial"/>
          <w:sz w:val="20"/>
          <w:szCs w:val="20"/>
          <w:lang w:eastAsia="pt-BR"/>
        </w:rPr>
        <w:t>.</w:t>
      </w:r>
    </w:p>
    <w:p w:rsidR="00B75C56" w:rsidRPr="009876FB" w:rsidRDefault="00B75C56" w:rsidP="009876FB">
      <w:pPr>
        <w:spacing w:before="288" w:after="100" w:afterAutospacing="1" w:line="240" w:lineRule="auto"/>
        <w:jc w:val="both"/>
        <w:rPr>
          <w:rFonts w:ascii="Times New Roman" w:eastAsia="Times New Roman" w:hAnsi="Times New Roman" w:cs="Times New Roman"/>
          <w:sz w:val="24"/>
          <w:szCs w:val="24"/>
          <w:lang w:eastAsia="pt-BR"/>
        </w:rPr>
      </w:pPr>
      <w:r w:rsidRPr="009876FB">
        <w:rPr>
          <w:rFonts w:ascii="Arial" w:eastAsia="Times New Roman" w:hAnsi="Arial" w:cs="Arial"/>
          <w:sz w:val="20"/>
          <w:szCs w:val="20"/>
          <w:lang w:eastAsia="pt-BR"/>
        </w:rPr>
        <w:t>Só serão considerados os fundos de investimento que tem por prestador de serviços de gestão e/ou administrador de carteira que atendem cumulativamente as condições:</w:t>
      </w:r>
    </w:p>
    <w:p w:rsidR="00B75C56" w:rsidRPr="009876FB" w:rsidRDefault="00B75C56" w:rsidP="009876FB">
      <w:pPr>
        <w:spacing w:before="288" w:after="100" w:afterAutospacing="1" w:line="240" w:lineRule="auto"/>
        <w:ind w:hanging="360"/>
        <w:jc w:val="both"/>
        <w:rPr>
          <w:rFonts w:ascii="Times New Roman" w:eastAsia="Times New Roman" w:hAnsi="Times New Roman" w:cs="Times New Roman"/>
          <w:sz w:val="24"/>
          <w:szCs w:val="24"/>
          <w:lang w:eastAsia="pt-BR"/>
        </w:rPr>
      </w:pPr>
      <w:proofErr w:type="gramStart"/>
      <w:r w:rsidRPr="009876FB">
        <w:rPr>
          <w:rFonts w:ascii="Arial" w:eastAsia="Times New Roman" w:hAnsi="Arial" w:cs="Arial"/>
          <w:sz w:val="20"/>
          <w:szCs w:val="20"/>
          <w:lang w:eastAsia="pt-BR"/>
        </w:rPr>
        <w:t>a</w:t>
      </w:r>
      <w:proofErr w:type="gramEnd"/>
      <w:r w:rsidRPr="009876FB">
        <w:rPr>
          <w:rFonts w:ascii="Arial" w:eastAsia="Times New Roman" w:hAnsi="Arial" w:cs="Arial"/>
          <w:sz w:val="20"/>
          <w:szCs w:val="20"/>
          <w:lang w:eastAsia="pt-BR"/>
        </w:rPr>
        <w:t>)</w:t>
      </w:r>
      <w:r w:rsidRPr="009876FB">
        <w:rPr>
          <w:rFonts w:ascii="Times New Roman" w:eastAsia="Times New Roman" w:hAnsi="Times New Roman" w:cs="Times New Roman"/>
          <w:sz w:val="14"/>
          <w:szCs w:val="14"/>
          <w:lang w:eastAsia="pt-BR"/>
        </w:rPr>
        <w:t xml:space="preserve">    </w:t>
      </w:r>
      <w:r w:rsidRPr="009876FB">
        <w:rPr>
          <w:rFonts w:ascii="Arial" w:eastAsia="Times New Roman" w:hAnsi="Arial" w:cs="Arial"/>
          <w:sz w:val="20"/>
          <w:szCs w:val="20"/>
          <w:lang w:eastAsia="pt-BR"/>
        </w:rPr>
        <w:t>O administrador OU o gestor dos recursos seja instituição autorizada a funcionar pelo Banco Central do Brasil obrigada a instituir comitê de auditoria e comitê de riscos;</w:t>
      </w:r>
    </w:p>
    <w:p w:rsidR="00B75C56" w:rsidRPr="009876FB" w:rsidRDefault="00B75C56" w:rsidP="009876FB">
      <w:pPr>
        <w:spacing w:before="288" w:after="100" w:afterAutospacing="1" w:line="240" w:lineRule="auto"/>
        <w:ind w:hanging="360"/>
        <w:jc w:val="both"/>
        <w:rPr>
          <w:rFonts w:ascii="Times New Roman" w:eastAsia="Times New Roman" w:hAnsi="Times New Roman" w:cs="Times New Roman"/>
          <w:sz w:val="24"/>
          <w:szCs w:val="24"/>
          <w:lang w:eastAsia="pt-BR"/>
        </w:rPr>
      </w:pPr>
      <w:proofErr w:type="gramStart"/>
      <w:r w:rsidRPr="009876FB">
        <w:rPr>
          <w:rFonts w:ascii="Arial" w:eastAsia="Times New Roman" w:hAnsi="Arial" w:cs="Arial"/>
          <w:sz w:val="20"/>
          <w:szCs w:val="20"/>
          <w:lang w:eastAsia="pt-BR"/>
        </w:rPr>
        <w:t>b)</w:t>
      </w:r>
      <w:proofErr w:type="gramEnd"/>
      <w:r w:rsidRPr="009876FB">
        <w:rPr>
          <w:rFonts w:ascii="Times New Roman" w:eastAsia="Times New Roman" w:hAnsi="Times New Roman" w:cs="Times New Roman"/>
          <w:sz w:val="14"/>
          <w:szCs w:val="14"/>
          <w:lang w:eastAsia="pt-BR"/>
        </w:rPr>
        <w:t xml:space="preserve">    </w:t>
      </w:r>
      <w:r w:rsidRPr="009876FB">
        <w:rPr>
          <w:rFonts w:ascii="Arial" w:eastAsia="Times New Roman" w:hAnsi="Arial" w:cs="Arial"/>
          <w:sz w:val="20"/>
          <w:szCs w:val="20"/>
          <w:lang w:eastAsia="pt-BR"/>
        </w:rPr>
        <w:t>O administrador do fundo de investimento detenha, no máximo, 50% dos recursos sob sua administração oriundos de RPPS e</w:t>
      </w:r>
    </w:p>
    <w:p w:rsidR="00B75C56" w:rsidRPr="009876FB" w:rsidRDefault="00B75C56" w:rsidP="009876FB">
      <w:pPr>
        <w:spacing w:before="288" w:after="100" w:afterAutospacing="1" w:line="240" w:lineRule="auto"/>
        <w:ind w:hanging="360"/>
        <w:jc w:val="both"/>
        <w:rPr>
          <w:rFonts w:ascii="Times New Roman" w:eastAsia="Times New Roman" w:hAnsi="Times New Roman" w:cs="Times New Roman"/>
          <w:sz w:val="24"/>
          <w:szCs w:val="24"/>
          <w:lang w:eastAsia="pt-BR"/>
        </w:rPr>
      </w:pPr>
      <w:proofErr w:type="gramStart"/>
      <w:r w:rsidRPr="009876FB">
        <w:rPr>
          <w:rFonts w:ascii="Arial" w:eastAsia="Times New Roman" w:hAnsi="Arial" w:cs="Arial"/>
          <w:sz w:val="20"/>
          <w:szCs w:val="20"/>
          <w:lang w:eastAsia="pt-BR"/>
        </w:rPr>
        <w:t>c)</w:t>
      </w:r>
      <w:proofErr w:type="gramEnd"/>
      <w:r w:rsidRPr="009876FB">
        <w:rPr>
          <w:rFonts w:ascii="Times New Roman" w:eastAsia="Times New Roman" w:hAnsi="Times New Roman" w:cs="Times New Roman"/>
          <w:sz w:val="14"/>
          <w:szCs w:val="14"/>
          <w:lang w:eastAsia="pt-BR"/>
        </w:rPr>
        <w:t xml:space="preserve">     </w:t>
      </w:r>
      <w:r w:rsidRPr="009876FB">
        <w:rPr>
          <w:rFonts w:ascii="Arial" w:eastAsia="Times New Roman" w:hAnsi="Arial" w:cs="Arial"/>
          <w:sz w:val="20"/>
          <w:szCs w:val="20"/>
          <w:lang w:eastAsia="pt-BR"/>
        </w:rPr>
        <w:t xml:space="preserve">O gestor e o administrador do fundo de investimento tenham sido objeto de prévio credenciamento e que seja considerado pelos responsáveis pela gestão dos recursos do RPPS como de boa qualidade de gestão e ambiente de controle de investimento. </w:t>
      </w:r>
    </w:p>
    <w:p w:rsidR="00B75C56" w:rsidRPr="009876FB" w:rsidRDefault="00B75C56" w:rsidP="00B75C56">
      <w:pPr>
        <w:spacing w:before="288" w:after="100" w:afterAutospacing="1" w:line="240" w:lineRule="auto"/>
        <w:rPr>
          <w:rFonts w:ascii="Times New Roman" w:eastAsia="Times New Roman" w:hAnsi="Times New Roman" w:cs="Times New Roman"/>
          <w:sz w:val="24"/>
          <w:szCs w:val="24"/>
          <w:lang w:eastAsia="pt-BR"/>
        </w:rPr>
      </w:pPr>
      <w:r w:rsidRPr="009876FB">
        <w:rPr>
          <w:rFonts w:ascii="Arial" w:eastAsia="Times New Roman" w:hAnsi="Arial" w:cs="Arial"/>
          <w:sz w:val="20"/>
          <w:szCs w:val="20"/>
          <w:lang w:eastAsia="pt-BR"/>
        </w:rPr>
        <w:t xml:space="preserve">Em atendimento aos requisitos dispostos, deverão ser observados apenas quando da aplicação dos recursos, podendo os fundos de investimentos não enquadrados nos termos acima, permanecer na carteira de investimentos do </w:t>
      </w:r>
      <w:r w:rsidRPr="009876FB">
        <w:rPr>
          <w:rFonts w:ascii="Arial" w:eastAsia="Times New Roman" w:hAnsi="Arial" w:cs="Arial"/>
          <w:b/>
          <w:bCs/>
          <w:sz w:val="20"/>
          <w:szCs w:val="20"/>
          <w:lang w:eastAsia="pt-BR"/>
        </w:rPr>
        <w:t>FUNDO MUNICIPAL DE APOSENTADORIA E PENSÃO DE FERNÃO</w:t>
      </w:r>
      <w:r w:rsidRPr="009876FB">
        <w:rPr>
          <w:rFonts w:ascii="Times New Roman" w:eastAsia="Times New Roman" w:hAnsi="Times New Roman" w:cs="Times New Roman"/>
          <w:sz w:val="24"/>
          <w:szCs w:val="24"/>
          <w:lang w:eastAsia="pt-BR"/>
        </w:rPr>
        <w:t xml:space="preserve"> </w:t>
      </w:r>
      <w:r w:rsidRPr="009876FB">
        <w:rPr>
          <w:rFonts w:ascii="Arial" w:eastAsia="Times New Roman" w:hAnsi="Arial" w:cs="Arial"/>
          <w:sz w:val="20"/>
          <w:szCs w:val="20"/>
          <w:lang w:eastAsia="pt-BR"/>
        </w:rPr>
        <w:t xml:space="preserve">até seu respectivo resgate ou vencimento, não sendo </w:t>
      </w:r>
      <w:r w:rsidR="009876FB" w:rsidRPr="009876FB">
        <w:rPr>
          <w:rFonts w:ascii="Arial" w:eastAsia="Times New Roman" w:hAnsi="Arial" w:cs="Arial"/>
          <w:sz w:val="20"/>
          <w:szCs w:val="20"/>
          <w:lang w:eastAsia="pt-BR"/>
        </w:rPr>
        <w:t>permitidas novas aplicações</w:t>
      </w:r>
      <w:r w:rsidRPr="009876FB">
        <w:rPr>
          <w:rFonts w:ascii="Arial" w:eastAsia="Times New Roman" w:hAnsi="Arial" w:cs="Arial"/>
          <w:sz w:val="20"/>
          <w:szCs w:val="20"/>
          <w:lang w:eastAsia="pt-BR"/>
        </w:rPr>
        <w:t>.</w:t>
      </w:r>
    </w:p>
    <w:p w:rsidR="00B75C56" w:rsidRPr="009876FB" w:rsidRDefault="00B75C56" w:rsidP="009876FB">
      <w:pPr>
        <w:spacing w:before="288" w:after="100" w:afterAutospacing="1" w:line="240" w:lineRule="auto"/>
        <w:jc w:val="both"/>
        <w:rPr>
          <w:rFonts w:ascii="Times New Roman" w:eastAsia="Times New Roman" w:hAnsi="Times New Roman" w:cs="Times New Roman"/>
          <w:sz w:val="24"/>
          <w:szCs w:val="24"/>
          <w:lang w:eastAsia="pt-BR"/>
        </w:rPr>
      </w:pPr>
      <w:r w:rsidRPr="009876FB">
        <w:rPr>
          <w:rFonts w:ascii="Arial" w:eastAsia="Times New Roman" w:hAnsi="Arial" w:cs="Arial"/>
          <w:sz w:val="20"/>
          <w:szCs w:val="20"/>
          <w:lang w:eastAsia="pt-BR"/>
        </w:rPr>
        <w:t xml:space="preserve">Na obtenção da Certificação Institucional Pró-Gestão, não </w:t>
      </w:r>
      <w:proofErr w:type="gramStart"/>
      <w:r w:rsidRPr="009876FB">
        <w:rPr>
          <w:rFonts w:ascii="Arial" w:eastAsia="Times New Roman" w:hAnsi="Arial" w:cs="Arial"/>
          <w:sz w:val="20"/>
          <w:szCs w:val="20"/>
          <w:lang w:eastAsia="pt-BR"/>
        </w:rPr>
        <w:t>serão considerados</w:t>
      </w:r>
      <w:proofErr w:type="gramEnd"/>
      <w:r w:rsidRPr="009876FB">
        <w:rPr>
          <w:rFonts w:ascii="Arial" w:eastAsia="Times New Roman" w:hAnsi="Arial" w:cs="Arial"/>
          <w:sz w:val="20"/>
          <w:szCs w:val="20"/>
          <w:lang w:eastAsia="pt-BR"/>
        </w:rPr>
        <w:t xml:space="preserve"> </w:t>
      </w:r>
      <w:proofErr w:type="spellStart"/>
      <w:r w:rsidRPr="009876FB">
        <w:rPr>
          <w:rFonts w:ascii="Arial" w:eastAsia="Times New Roman" w:hAnsi="Arial" w:cs="Arial"/>
          <w:sz w:val="20"/>
          <w:szCs w:val="20"/>
          <w:lang w:eastAsia="pt-BR"/>
        </w:rPr>
        <w:t>desenquadramentos</w:t>
      </w:r>
      <w:proofErr w:type="spellEnd"/>
      <w:r w:rsidRPr="009876FB">
        <w:rPr>
          <w:rFonts w:ascii="Arial" w:eastAsia="Times New Roman" w:hAnsi="Arial" w:cs="Arial"/>
          <w:sz w:val="20"/>
          <w:szCs w:val="20"/>
          <w:lang w:eastAsia="pt-BR"/>
        </w:rPr>
        <w:t xml:space="preserve"> os limites aqui definidos, tendo o </w:t>
      </w:r>
      <w:r w:rsidRPr="009876FB">
        <w:rPr>
          <w:rFonts w:ascii="Arial" w:eastAsia="Times New Roman" w:hAnsi="Arial" w:cs="Arial"/>
          <w:b/>
          <w:bCs/>
          <w:sz w:val="20"/>
          <w:szCs w:val="20"/>
          <w:lang w:eastAsia="pt-BR"/>
        </w:rPr>
        <w:t>FUNDO MUNICIPAL DE APOSENTADORIA E PENSÃO DE FERNÃO</w:t>
      </w:r>
      <w:r w:rsidRPr="009876FB">
        <w:rPr>
          <w:rFonts w:ascii="Arial" w:eastAsia="Times New Roman" w:hAnsi="Arial" w:cs="Arial"/>
          <w:sz w:val="20"/>
          <w:szCs w:val="20"/>
          <w:lang w:eastAsia="pt-BR"/>
        </w:rPr>
        <w:t xml:space="preserve"> prazo de 60 (sessenta) dias para revisão e adequação da sua Política de Investimentos em atendimento aos novos limites.</w:t>
      </w:r>
    </w:p>
    <w:p w:rsidR="00B75C56" w:rsidRPr="009876FB" w:rsidRDefault="00B75C56" w:rsidP="00B75C56">
      <w:pPr>
        <w:spacing w:before="100" w:beforeAutospacing="1" w:after="100" w:afterAutospacing="1" w:line="240" w:lineRule="auto"/>
        <w:outlineLvl w:val="1"/>
        <w:rPr>
          <w:rFonts w:ascii="Arial" w:eastAsia="Times New Roman" w:hAnsi="Arial" w:cs="Arial"/>
          <w:b/>
          <w:bCs/>
          <w:sz w:val="20"/>
          <w:szCs w:val="20"/>
          <w:lang w:eastAsia="pt-BR"/>
        </w:rPr>
      </w:pPr>
      <w:bookmarkStart w:id="64" w:name="_Toc20130603"/>
      <w:bookmarkStart w:id="65" w:name="_Toc490036551"/>
      <w:bookmarkStart w:id="66" w:name="_Toc435202745"/>
      <w:bookmarkEnd w:id="64"/>
      <w:bookmarkEnd w:id="65"/>
      <w:r w:rsidRPr="009876FB">
        <w:rPr>
          <w:rFonts w:ascii="Arial" w:eastAsia="Times New Roman" w:hAnsi="Arial" w:cs="Arial"/>
          <w:b/>
          <w:bCs/>
          <w:sz w:val="20"/>
          <w:szCs w:val="20"/>
          <w:lang w:eastAsia="pt-BR"/>
        </w:rPr>
        <w:t>5.6      VEDAÇÕES</w:t>
      </w:r>
      <w:bookmarkEnd w:id="66"/>
    </w:p>
    <w:p w:rsidR="00B75C56" w:rsidRPr="009876FB" w:rsidRDefault="00B75C56" w:rsidP="009876FB">
      <w:pPr>
        <w:spacing w:before="288" w:after="0" w:line="240" w:lineRule="auto"/>
        <w:jc w:val="both"/>
        <w:rPr>
          <w:rFonts w:ascii="Times New Roman" w:eastAsia="Times New Roman" w:hAnsi="Times New Roman" w:cs="Times New Roman"/>
          <w:sz w:val="24"/>
          <w:szCs w:val="24"/>
          <w:lang w:eastAsia="pt-BR"/>
        </w:rPr>
      </w:pPr>
      <w:r w:rsidRPr="009876FB">
        <w:rPr>
          <w:rFonts w:ascii="Arial" w:eastAsia="Times New Roman" w:hAnsi="Arial" w:cs="Arial"/>
          <w:sz w:val="20"/>
          <w:szCs w:val="20"/>
          <w:lang w:eastAsia="pt-BR"/>
        </w:rPr>
        <w:t xml:space="preserve">O Comitê de Investimento do </w:t>
      </w:r>
      <w:r w:rsidRPr="009876FB">
        <w:rPr>
          <w:rFonts w:ascii="Arial" w:eastAsia="Times New Roman" w:hAnsi="Arial" w:cs="Arial"/>
          <w:b/>
          <w:bCs/>
          <w:sz w:val="20"/>
          <w:szCs w:val="20"/>
          <w:lang w:eastAsia="pt-BR"/>
        </w:rPr>
        <w:t>FUNDO MUNICIPAL DE APOSENTADORIA E PENSÃO DE FERNÃO</w:t>
      </w:r>
      <w:r w:rsidRPr="009876FB">
        <w:rPr>
          <w:rFonts w:ascii="Arial" w:eastAsia="Times New Roman" w:hAnsi="Arial" w:cs="Arial"/>
          <w:sz w:val="20"/>
          <w:szCs w:val="20"/>
          <w:lang w:eastAsia="pt-BR"/>
        </w:rPr>
        <w:t xml:space="preserve"> deverá seguir as vedações estabelecidas pela Resolução CMN n° 3.922/2010, ficando adicionalmente vedada a aquisição de:</w:t>
      </w:r>
    </w:p>
    <w:p w:rsidR="00B75C56" w:rsidRPr="009876FB" w:rsidRDefault="00B75C56" w:rsidP="009876FB">
      <w:pPr>
        <w:spacing w:before="288" w:after="0" w:line="240" w:lineRule="auto"/>
        <w:jc w:val="both"/>
        <w:rPr>
          <w:rFonts w:ascii="Times New Roman" w:eastAsia="Times New Roman" w:hAnsi="Times New Roman" w:cs="Times New Roman"/>
          <w:sz w:val="24"/>
          <w:szCs w:val="24"/>
          <w:lang w:eastAsia="pt-BR"/>
        </w:rPr>
      </w:pPr>
      <w:r w:rsidRPr="009876FB">
        <w:rPr>
          <w:rFonts w:ascii="Arial" w:eastAsia="Times New Roman" w:hAnsi="Arial" w:cs="Arial"/>
          <w:sz w:val="20"/>
          <w:szCs w:val="20"/>
          <w:lang w:eastAsia="pt-BR"/>
        </w:rPr>
        <w:t>1. Operações compromissadas;</w:t>
      </w:r>
    </w:p>
    <w:p w:rsidR="00B75C56" w:rsidRPr="009876FB" w:rsidRDefault="00B75C56" w:rsidP="009876FB">
      <w:pPr>
        <w:spacing w:before="288" w:after="0" w:line="240" w:lineRule="auto"/>
        <w:jc w:val="both"/>
        <w:rPr>
          <w:rFonts w:ascii="Times New Roman" w:eastAsia="Times New Roman" w:hAnsi="Times New Roman" w:cs="Times New Roman"/>
          <w:sz w:val="24"/>
          <w:szCs w:val="24"/>
          <w:lang w:eastAsia="pt-BR"/>
        </w:rPr>
      </w:pPr>
      <w:r w:rsidRPr="009876FB">
        <w:rPr>
          <w:rFonts w:ascii="Arial" w:eastAsia="Times New Roman" w:hAnsi="Arial" w:cs="Arial"/>
          <w:sz w:val="20"/>
          <w:szCs w:val="20"/>
          <w:lang w:eastAsia="pt-BR"/>
        </w:rPr>
        <w:t>2. Depósitos em Poupança;</w:t>
      </w:r>
    </w:p>
    <w:p w:rsidR="00B75C56" w:rsidRPr="009876FB" w:rsidRDefault="00B75C56" w:rsidP="009876FB">
      <w:pPr>
        <w:spacing w:before="288" w:after="0" w:line="240" w:lineRule="auto"/>
        <w:jc w:val="both"/>
        <w:rPr>
          <w:rFonts w:ascii="Times New Roman" w:eastAsia="Times New Roman" w:hAnsi="Times New Roman" w:cs="Times New Roman"/>
          <w:sz w:val="24"/>
          <w:szCs w:val="24"/>
          <w:lang w:eastAsia="pt-BR"/>
        </w:rPr>
      </w:pPr>
      <w:r w:rsidRPr="009876FB">
        <w:rPr>
          <w:rFonts w:ascii="Arial" w:eastAsia="Times New Roman" w:hAnsi="Arial" w:cs="Arial"/>
          <w:sz w:val="20"/>
          <w:szCs w:val="20"/>
          <w:lang w:eastAsia="pt-BR"/>
        </w:rPr>
        <w:t>3. Aquisição de qualquer ativo final, emitido por Instituições Financeiras com alto risco de crédito;</w:t>
      </w:r>
    </w:p>
    <w:p w:rsidR="009876FB" w:rsidRPr="009876FB" w:rsidRDefault="009876FB" w:rsidP="009876FB">
      <w:pPr>
        <w:spacing w:before="288" w:after="0" w:line="240" w:lineRule="auto"/>
        <w:rPr>
          <w:rFonts w:ascii="Arial" w:eastAsia="Times New Roman" w:hAnsi="Arial" w:cs="Arial"/>
          <w:color w:val="FF0000"/>
          <w:sz w:val="10"/>
          <w:szCs w:val="10"/>
          <w:lang w:eastAsia="pt-BR"/>
        </w:rPr>
      </w:pPr>
    </w:p>
    <w:p w:rsidR="00B75C56" w:rsidRPr="009876FB" w:rsidRDefault="00B75C56" w:rsidP="009876FB">
      <w:pPr>
        <w:spacing w:before="288" w:after="0" w:line="240" w:lineRule="auto"/>
        <w:rPr>
          <w:rFonts w:ascii="Times New Roman" w:eastAsia="Times New Roman" w:hAnsi="Times New Roman" w:cs="Times New Roman"/>
          <w:b/>
          <w:bCs/>
          <w:kern w:val="36"/>
          <w:sz w:val="48"/>
          <w:szCs w:val="48"/>
          <w:lang w:eastAsia="pt-BR"/>
        </w:rPr>
      </w:pPr>
      <w:r w:rsidRPr="00B75C56">
        <w:rPr>
          <w:rFonts w:ascii="Arial" w:eastAsia="Times New Roman" w:hAnsi="Arial" w:cs="Arial"/>
          <w:color w:val="FF0000"/>
          <w:sz w:val="20"/>
          <w:szCs w:val="20"/>
          <w:lang w:eastAsia="pt-BR"/>
        </w:rPr>
        <w:t> </w:t>
      </w:r>
      <w:bookmarkStart w:id="67" w:name="_Toc20130604"/>
      <w:bookmarkStart w:id="68" w:name="_Toc490036552"/>
      <w:bookmarkStart w:id="69" w:name="_Toc435202746"/>
      <w:bookmarkStart w:id="70" w:name="_Toc496794775"/>
      <w:bookmarkEnd w:id="67"/>
      <w:bookmarkEnd w:id="68"/>
      <w:bookmarkEnd w:id="69"/>
      <w:bookmarkEnd w:id="70"/>
      <w:proofErr w:type="gramStart"/>
      <w:r w:rsidRPr="009876FB">
        <w:rPr>
          <w:rFonts w:ascii="Arial" w:eastAsia="Times New Roman" w:hAnsi="Arial" w:cs="Arial"/>
          <w:b/>
          <w:bCs/>
          <w:kern w:val="36"/>
          <w:lang w:eastAsia="pt-BR"/>
        </w:rPr>
        <w:t>6</w:t>
      </w:r>
      <w:proofErr w:type="gramEnd"/>
      <w:r w:rsidRPr="009876FB">
        <w:rPr>
          <w:rFonts w:ascii="Times New Roman" w:eastAsia="Times New Roman" w:hAnsi="Times New Roman" w:cs="Times New Roman"/>
          <w:b/>
          <w:bCs/>
          <w:kern w:val="36"/>
          <w:sz w:val="14"/>
          <w:szCs w:val="14"/>
          <w:lang w:eastAsia="pt-BR"/>
        </w:rPr>
        <w:t xml:space="preserve">       </w:t>
      </w:r>
      <w:r w:rsidRPr="009876FB">
        <w:rPr>
          <w:rFonts w:ascii="Arial" w:eastAsia="Times New Roman" w:hAnsi="Arial" w:cs="Arial"/>
          <w:b/>
          <w:bCs/>
          <w:kern w:val="36"/>
          <w:lang w:eastAsia="pt-BR"/>
        </w:rPr>
        <w:t>META DE RENTABILIDADE</w:t>
      </w:r>
    </w:p>
    <w:p w:rsidR="00B75C56" w:rsidRPr="009876FB" w:rsidRDefault="00B75C56" w:rsidP="009876FB">
      <w:pPr>
        <w:spacing w:before="288" w:after="0" w:line="240" w:lineRule="auto"/>
        <w:jc w:val="both"/>
        <w:rPr>
          <w:rFonts w:ascii="Times New Roman" w:eastAsia="Times New Roman" w:hAnsi="Times New Roman" w:cs="Times New Roman"/>
          <w:sz w:val="24"/>
          <w:szCs w:val="24"/>
          <w:lang w:eastAsia="pt-BR"/>
        </w:rPr>
      </w:pPr>
      <w:r w:rsidRPr="009876FB">
        <w:rPr>
          <w:rFonts w:ascii="Arial" w:eastAsia="Times New Roman" w:hAnsi="Arial" w:cs="Arial"/>
          <w:sz w:val="20"/>
          <w:szCs w:val="20"/>
          <w:lang w:eastAsia="pt-BR"/>
        </w:rPr>
        <w:t xml:space="preserve">A Portaria MF n° 464, de 19 de novembro de 2018, que estabelece as Normas Aplicáveis às Avaliações </w:t>
      </w:r>
      <w:r w:rsidR="009876FB" w:rsidRPr="009876FB">
        <w:rPr>
          <w:rFonts w:ascii="Arial" w:eastAsia="Times New Roman" w:hAnsi="Arial" w:cs="Arial"/>
          <w:sz w:val="20"/>
          <w:szCs w:val="20"/>
          <w:lang w:eastAsia="pt-BR"/>
        </w:rPr>
        <w:t>Atuariais dos Regimes Próprios de Previdência Social</w:t>
      </w:r>
      <w:r w:rsidRPr="009876FB">
        <w:rPr>
          <w:rFonts w:ascii="Arial" w:eastAsia="Times New Roman" w:hAnsi="Arial" w:cs="Arial"/>
          <w:sz w:val="20"/>
          <w:szCs w:val="20"/>
          <w:lang w:eastAsia="pt-BR"/>
        </w:rPr>
        <w:t>, determina que a taxa atuarial de juros a ser utilizada nas Avaliações Atuariais seja o menor percentual dentre o valor esperado da rentabilidade futura dos investimentos dos ativos garantidores do RPPS e a taxa de juros parâmetro cujo ponto da Estrutura a Termo da Taxa de Juros Média seja o mais próximo à duração do passivo do RPPS.</w:t>
      </w:r>
    </w:p>
    <w:p w:rsidR="00B75C56" w:rsidRPr="009876FB" w:rsidRDefault="00B75C56" w:rsidP="009876FB">
      <w:pPr>
        <w:spacing w:before="288" w:after="0" w:line="240" w:lineRule="auto"/>
        <w:jc w:val="both"/>
        <w:rPr>
          <w:rFonts w:ascii="Times New Roman" w:eastAsia="Times New Roman" w:hAnsi="Times New Roman" w:cs="Times New Roman"/>
          <w:sz w:val="24"/>
          <w:szCs w:val="24"/>
          <w:lang w:eastAsia="pt-BR"/>
        </w:rPr>
      </w:pPr>
      <w:r w:rsidRPr="009876FB">
        <w:rPr>
          <w:rFonts w:ascii="Arial" w:eastAsia="Times New Roman" w:hAnsi="Arial" w:cs="Arial"/>
          <w:sz w:val="20"/>
          <w:szCs w:val="20"/>
          <w:lang w:eastAsia="pt-BR"/>
        </w:rPr>
        <w:t>Também chamada de meta atuarial, é a taxa de desconto utilizada no cálculo atuarial para trazer a valor presente, todos os compromissos do plano de benefícios para com seus beneficiários na linha do tempo, determinando assim o quanto de patrimônio o Regime Próprio de Previdência Social deverá possuir hoje para manter o equilíbrio atuarial.</w:t>
      </w:r>
    </w:p>
    <w:p w:rsidR="00B75C56" w:rsidRPr="00F8588C" w:rsidRDefault="00B75C56" w:rsidP="009876FB">
      <w:pPr>
        <w:spacing w:before="288" w:after="0" w:line="240" w:lineRule="auto"/>
        <w:jc w:val="both"/>
        <w:rPr>
          <w:rFonts w:ascii="Times New Roman" w:eastAsia="Times New Roman" w:hAnsi="Times New Roman" w:cs="Times New Roman"/>
          <w:sz w:val="24"/>
          <w:szCs w:val="24"/>
          <w:lang w:eastAsia="pt-BR"/>
        </w:rPr>
      </w:pPr>
      <w:r w:rsidRPr="00F8588C">
        <w:rPr>
          <w:rFonts w:ascii="Arial" w:eastAsia="Times New Roman" w:hAnsi="Arial" w:cs="Arial"/>
          <w:sz w:val="20"/>
          <w:szCs w:val="20"/>
          <w:lang w:eastAsia="pt-BR"/>
        </w:rPr>
        <w:lastRenderedPageBreak/>
        <w:t>Esse equilíbrio somente será possível de se obter caso os investimentos sejam remunerados, no mínimo, por essa mesma taxa. Do contrário, ou seja, se a taxa que remunera os investimentos passe a ser inferior a taxa utilizada no cálculo atuarial, o plano de benefício se tornará insolvente, comprometendo o pagamento das aposentadorias e pensões em algum momento no futuro.</w:t>
      </w:r>
    </w:p>
    <w:p w:rsidR="00B75C56" w:rsidRPr="00F8588C" w:rsidRDefault="00B75C56" w:rsidP="00B437B5">
      <w:pPr>
        <w:spacing w:before="288" w:after="0" w:line="240" w:lineRule="auto"/>
        <w:jc w:val="both"/>
        <w:rPr>
          <w:rFonts w:ascii="Times New Roman" w:eastAsia="Times New Roman" w:hAnsi="Times New Roman" w:cs="Times New Roman"/>
          <w:sz w:val="24"/>
          <w:szCs w:val="24"/>
          <w:lang w:eastAsia="pt-BR"/>
        </w:rPr>
      </w:pPr>
      <w:r w:rsidRPr="00F8588C">
        <w:rPr>
          <w:rFonts w:ascii="Arial" w:eastAsia="Times New Roman" w:hAnsi="Arial" w:cs="Arial"/>
          <w:sz w:val="20"/>
          <w:szCs w:val="20"/>
          <w:lang w:eastAsia="pt-BR"/>
        </w:rPr>
        <w:t>Considerando a exposição da carteira e seus investimentos e as projeções dos indicadores de desempenho dos retornos sobre esses mesmos investimentos; o valor esperado da rentabilidade futura dos investimentos dos ativos garantidores do RPPS conhecida como META DE RENTABILIDADE é de IPCA+</w:t>
      </w:r>
      <w:r w:rsidRPr="00F8588C">
        <w:rPr>
          <w:rFonts w:ascii="Arial" w:eastAsia="Times New Roman" w:hAnsi="Arial" w:cs="Arial"/>
          <w:b/>
          <w:bCs/>
          <w:sz w:val="20"/>
          <w:szCs w:val="20"/>
          <w:lang w:eastAsia="pt-BR"/>
        </w:rPr>
        <w:t>5,52% (</w:t>
      </w:r>
      <w:proofErr w:type="gramStart"/>
      <w:r w:rsidRPr="00F8588C">
        <w:rPr>
          <w:rFonts w:ascii="Arial" w:eastAsia="Times New Roman" w:hAnsi="Arial" w:cs="Arial"/>
          <w:b/>
          <w:bCs/>
          <w:sz w:val="20"/>
          <w:szCs w:val="20"/>
          <w:lang w:eastAsia="pt-BR"/>
        </w:rPr>
        <w:t>cinco vírgula</w:t>
      </w:r>
      <w:proofErr w:type="gramEnd"/>
      <w:r w:rsidRPr="00F8588C">
        <w:rPr>
          <w:rFonts w:ascii="Arial" w:eastAsia="Times New Roman" w:hAnsi="Arial" w:cs="Arial"/>
          <w:b/>
          <w:bCs/>
          <w:sz w:val="20"/>
          <w:szCs w:val="20"/>
          <w:lang w:eastAsia="pt-BR"/>
        </w:rPr>
        <w:t xml:space="preserve"> </w:t>
      </w:r>
      <w:r w:rsidR="009876FB" w:rsidRPr="00F8588C">
        <w:rPr>
          <w:rFonts w:ascii="Arial" w:eastAsia="Times New Roman" w:hAnsi="Arial" w:cs="Arial"/>
          <w:b/>
          <w:bCs/>
          <w:sz w:val="20"/>
          <w:szCs w:val="20"/>
          <w:lang w:eastAsia="pt-BR"/>
        </w:rPr>
        <w:t>cinqüenta</w:t>
      </w:r>
      <w:r w:rsidRPr="00F8588C">
        <w:rPr>
          <w:rFonts w:ascii="Arial" w:eastAsia="Times New Roman" w:hAnsi="Arial" w:cs="Arial"/>
          <w:b/>
          <w:bCs/>
          <w:sz w:val="20"/>
          <w:szCs w:val="20"/>
          <w:lang w:eastAsia="pt-BR"/>
        </w:rPr>
        <w:t xml:space="preserve"> e dois </w:t>
      </w:r>
      <w:proofErr w:type="spellStart"/>
      <w:r w:rsidRPr="00F8588C">
        <w:rPr>
          <w:rFonts w:ascii="Arial" w:eastAsia="Times New Roman" w:hAnsi="Arial" w:cs="Arial"/>
          <w:b/>
          <w:bCs/>
          <w:sz w:val="20"/>
          <w:szCs w:val="20"/>
          <w:lang w:eastAsia="pt-BR"/>
        </w:rPr>
        <w:t>porcento</w:t>
      </w:r>
      <w:proofErr w:type="spellEnd"/>
      <w:r w:rsidRPr="00F8588C">
        <w:rPr>
          <w:rFonts w:ascii="Arial" w:eastAsia="Times New Roman" w:hAnsi="Arial" w:cs="Arial"/>
          <w:b/>
          <w:bCs/>
          <w:sz w:val="20"/>
          <w:szCs w:val="20"/>
          <w:lang w:eastAsia="pt-BR"/>
        </w:rPr>
        <w:t>)</w:t>
      </w:r>
      <w:r w:rsidRPr="00F8588C">
        <w:rPr>
          <w:rFonts w:ascii="Arial" w:eastAsia="Times New Roman" w:hAnsi="Arial" w:cs="Arial"/>
          <w:sz w:val="20"/>
          <w:szCs w:val="20"/>
          <w:lang w:eastAsia="pt-BR"/>
        </w:rPr>
        <w:t>.</w:t>
      </w:r>
    </w:p>
    <w:p w:rsidR="00B75C56" w:rsidRPr="00F8588C" w:rsidRDefault="00B75C56" w:rsidP="00B437B5">
      <w:pPr>
        <w:spacing w:before="288" w:after="0" w:line="240" w:lineRule="auto"/>
        <w:jc w:val="both"/>
        <w:rPr>
          <w:rFonts w:ascii="Times New Roman" w:eastAsia="Times New Roman" w:hAnsi="Times New Roman" w:cs="Times New Roman"/>
          <w:sz w:val="24"/>
          <w:szCs w:val="24"/>
          <w:lang w:eastAsia="pt-BR"/>
        </w:rPr>
      </w:pPr>
      <w:r w:rsidRPr="00F8588C">
        <w:rPr>
          <w:rFonts w:ascii="Arial" w:eastAsia="Times New Roman" w:hAnsi="Arial" w:cs="Arial"/>
          <w:sz w:val="20"/>
          <w:szCs w:val="20"/>
          <w:lang w:eastAsia="pt-BR"/>
        </w:rPr>
        <w:t>Ainda assim, o </w:t>
      </w:r>
      <w:r w:rsidRPr="00F8588C">
        <w:rPr>
          <w:rFonts w:ascii="Arial" w:eastAsia="Times New Roman" w:hAnsi="Arial" w:cs="Arial"/>
          <w:b/>
          <w:bCs/>
          <w:sz w:val="20"/>
          <w:szCs w:val="20"/>
          <w:lang w:eastAsia="pt-BR"/>
        </w:rPr>
        <w:t>FUNDO MUNICIPAL DE APOSENTADORIA E PENSÃO DE FERNÃO</w:t>
      </w:r>
      <w:r w:rsidRPr="00F8588C">
        <w:rPr>
          <w:rFonts w:ascii="Arial" w:eastAsia="Times New Roman" w:hAnsi="Arial" w:cs="Arial"/>
          <w:sz w:val="20"/>
          <w:szCs w:val="20"/>
          <w:lang w:eastAsia="pt-BR"/>
        </w:rPr>
        <w:t> no exercício de sua execução, através de estudos técnicos, promoverá o acompanhamento das duas taxas para que seja evidenciado, no longo prazo, qual proporcionava a melhor situação financeiro-atuarial para o plano de benefícios previdenciários.</w:t>
      </w:r>
    </w:p>
    <w:p w:rsidR="00810932" w:rsidRDefault="00B75C56" w:rsidP="00810932">
      <w:pPr>
        <w:spacing w:before="288" w:after="0" w:line="240" w:lineRule="auto"/>
        <w:rPr>
          <w:rFonts w:ascii="Arial" w:eastAsia="Times New Roman" w:hAnsi="Arial" w:cs="Arial"/>
          <w:color w:val="FF0000"/>
          <w:sz w:val="20"/>
          <w:szCs w:val="20"/>
          <w:lang w:eastAsia="pt-BR"/>
        </w:rPr>
      </w:pPr>
      <w:r w:rsidRPr="00B75C56">
        <w:rPr>
          <w:rFonts w:ascii="Arial" w:eastAsia="Times New Roman" w:hAnsi="Arial" w:cs="Arial"/>
          <w:color w:val="FF0000"/>
          <w:sz w:val="20"/>
          <w:szCs w:val="20"/>
          <w:lang w:eastAsia="pt-BR"/>
        </w:rPr>
        <w:t> </w:t>
      </w:r>
      <w:bookmarkStart w:id="71" w:name="_Toc20130605"/>
      <w:bookmarkStart w:id="72" w:name="_Toc490036553"/>
      <w:bookmarkStart w:id="73" w:name="_Toc435202747"/>
      <w:bookmarkEnd w:id="71"/>
      <w:bookmarkEnd w:id="72"/>
    </w:p>
    <w:p w:rsidR="00B75C56" w:rsidRPr="00810932" w:rsidRDefault="00B75C56" w:rsidP="00810932">
      <w:pPr>
        <w:spacing w:before="288" w:after="0" w:line="240" w:lineRule="auto"/>
        <w:rPr>
          <w:rFonts w:ascii="Times New Roman" w:eastAsia="Times New Roman" w:hAnsi="Times New Roman" w:cs="Times New Roman"/>
          <w:b/>
          <w:bCs/>
          <w:kern w:val="36"/>
          <w:sz w:val="48"/>
          <w:szCs w:val="48"/>
          <w:lang w:eastAsia="pt-BR"/>
        </w:rPr>
      </w:pPr>
      <w:proofErr w:type="gramStart"/>
      <w:r w:rsidRPr="00810932">
        <w:rPr>
          <w:rFonts w:ascii="Arial" w:eastAsia="Times New Roman" w:hAnsi="Arial" w:cs="Arial"/>
          <w:b/>
          <w:bCs/>
          <w:kern w:val="36"/>
          <w:lang w:eastAsia="pt-BR"/>
        </w:rPr>
        <w:t>7</w:t>
      </w:r>
      <w:proofErr w:type="gramEnd"/>
      <w:r w:rsidRPr="00810932">
        <w:rPr>
          <w:rFonts w:ascii="Times New Roman" w:eastAsia="Times New Roman" w:hAnsi="Times New Roman" w:cs="Times New Roman"/>
          <w:b/>
          <w:bCs/>
          <w:kern w:val="36"/>
          <w:sz w:val="14"/>
          <w:szCs w:val="14"/>
          <w:lang w:eastAsia="pt-BR"/>
        </w:rPr>
        <w:t>      </w:t>
      </w:r>
      <w:r w:rsidRPr="00810932">
        <w:rPr>
          <w:rFonts w:ascii="Times New Roman" w:eastAsia="Times New Roman" w:hAnsi="Times New Roman" w:cs="Times New Roman"/>
          <w:b/>
          <w:bCs/>
          <w:kern w:val="36"/>
          <w:sz w:val="48"/>
          <w:szCs w:val="48"/>
          <w:lang w:eastAsia="pt-BR"/>
        </w:rPr>
        <w:t xml:space="preserve"> </w:t>
      </w:r>
      <w:r w:rsidRPr="00810932">
        <w:rPr>
          <w:rFonts w:ascii="Arial" w:eastAsia="Times New Roman" w:hAnsi="Arial" w:cs="Arial"/>
          <w:b/>
          <w:bCs/>
          <w:kern w:val="36"/>
          <w:lang w:eastAsia="pt-BR"/>
        </w:rPr>
        <w:t>ESTRUTURA DE GESTÃO</w:t>
      </w:r>
      <w:bookmarkEnd w:id="73"/>
    </w:p>
    <w:p w:rsidR="00B75C56" w:rsidRPr="00810932" w:rsidRDefault="00B75C56" w:rsidP="00810932">
      <w:pPr>
        <w:spacing w:before="288" w:after="100" w:afterAutospacing="1" w:line="240" w:lineRule="auto"/>
        <w:jc w:val="both"/>
        <w:rPr>
          <w:rFonts w:ascii="Times New Roman" w:eastAsia="Times New Roman" w:hAnsi="Times New Roman" w:cs="Times New Roman"/>
          <w:sz w:val="24"/>
          <w:szCs w:val="24"/>
          <w:lang w:eastAsia="pt-BR"/>
        </w:rPr>
      </w:pPr>
      <w:r w:rsidRPr="00810932">
        <w:rPr>
          <w:rFonts w:ascii="Arial" w:eastAsia="Times New Roman" w:hAnsi="Arial" w:cs="Arial"/>
          <w:sz w:val="20"/>
          <w:szCs w:val="20"/>
          <w:lang w:eastAsia="pt-BR"/>
        </w:rPr>
        <w:t>De acordo com as hipóteses previstas na Resolução CMN nº 3.922/2010, a aplicação dos investimentos será realizada por gestão própria, terceirizada ou mista.</w:t>
      </w:r>
    </w:p>
    <w:p w:rsidR="00B75C56" w:rsidRPr="00810932" w:rsidRDefault="00B75C56" w:rsidP="00810932">
      <w:pPr>
        <w:spacing w:before="288" w:after="100" w:afterAutospacing="1" w:line="240" w:lineRule="auto"/>
        <w:jc w:val="both"/>
        <w:rPr>
          <w:rFonts w:ascii="Times New Roman" w:eastAsia="Times New Roman" w:hAnsi="Times New Roman" w:cs="Times New Roman"/>
          <w:sz w:val="24"/>
          <w:szCs w:val="24"/>
          <w:lang w:eastAsia="pt-BR"/>
        </w:rPr>
      </w:pPr>
      <w:r w:rsidRPr="00810932">
        <w:rPr>
          <w:rFonts w:ascii="Arial" w:eastAsia="Times New Roman" w:hAnsi="Arial" w:cs="Arial"/>
          <w:sz w:val="20"/>
          <w:szCs w:val="20"/>
          <w:lang w:eastAsia="pt-BR"/>
        </w:rPr>
        <w:t xml:space="preserve">Para a vigência desta Política de Investimentos, a gestão das aplicações dos recursos do </w:t>
      </w:r>
      <w:r w:rsidRPr="00810932">
        <w:rPr>
          <w:rFonts w:ascii="Arial" w:eastAsia="Times New Roman" w:hAnsi="Arial" w:cs="Arial"/>
          <w:b/>
          <w:bCs/>
          <w:sz w:val="20"/>
          <w:szCs w:val="20"/>
          <w:lang w:eastAsia="pt-BR"/>
        </w:rPr>
        <w:t>FUNDO MUNICIPAL DE APOSENTADORIA E PENSÃO DE FERNÃO</w:t>
      </w:r>
      <w:r w:rsidRPr="00810932">
        <w:rPr>
          <w:rFonts w:ascii="Arial" w:eastAsia="Times New Roman" w:hAnsi="Arial" w:cs="Arial"/>
          <w:sz w:val="20"/>
          <w:szCs w:val="20"/>
          <w:lang w:eastAsia="pt-BR"/>
        </w:rPr>
        <w:t xml:space="preserve"> será </w:t>
      </w:r>
      <w:r w:rsidRPr="00810932">
        <w:rPr>
          <w:rFonts w:ascii="Arial" w:eastAsia="Times New Roman" w:hAnsi="Arial" w:cs="Arial"/>
          <w:b/>
          <w:bCs/>
          <w:sz w:val="20"/>
          <w:szCs w:val="20"/>
          <w:lang w:eastAsia="pt-BR"/>
        </w:rPr>
        <w:t>própria</w:t>
      </w:r>
      <w:r w:rsidRPr="00810932">
        <w:rPr>
          <w:rFonts w:ascii="Arial" w:eastAsia="Times New Roman" w:hAnsi="Arial" w:cs="Arial"/>
          <w:sz w:val="20"/>
          <w:szCs w:val="20"/>
          <w:lang w:eastAsia="pt-BR"/>
        </w:rPr>
        <w:t>.</w:t>
      </w:r>
    </w:p>
    <w:p w:rsidR="00810932" w:rsidRDefault="00810932" w:rsidP="00B75C56">
      <w:pPr>
        <w:spacing w:before="100" w:beforeAutospacing="1" w:after="100" w:afterAutospacing="1" w:line="240" w:lineRule="auto"/>
        <w:outlineLvl w:val="1"/>
        <w:rPr>
          <w:rFonts w:ascii="Arial" w:eastAsia="Times New Roman" w:hAnsi="Arial" w:cs="Arial"/>
          <w:b/>
          <w:bCs/>
          <w:color w:val="FF0000"/>
          <w:lang w:eastAsia="pt-BR"/>
        </w:rPr>
      </w:pPr>
      <w:bookmarkStart w:id="74" w:name="_Toc20130606"/>
    </w:p>
    <w:p w:rsidR="00B75C56" w:rsidRPr="00FA69E9" w:rsidRDefault="00B75C56" w:rsidP="00B75C56">
      <w:pPr>
        <w:spacing w:before="100" w:beforeAutospacing="1" w:after="100" w:afterAutospacing="1" w:line="240" w:lineRule="auto"/>
        <w:outlineLvl w:val="1"/>
        <w:rPr>
          <w:rFonts w:ascii="Arial" w:eastAsia="Times New Roman" w:hAnsi="Arial" w:cs="Arial"/>
          <w:b/>
          <w:bCs/>
          <w:lang w:eastAsia="pt-BR"/>
        </w:rPr>
      </w:pPr>
      <w:r w:rsidRPr="00FA69E9">
        <w:rPr>
          <w:rFonts w:ascii="Arial" w:eastAsia="Times New Roman" w:hAnsi="Arial" w:cs="Arial"/>
          <w:b/>
          <w:bCs/>
          <w:lang w:eastAsia="pt-BR"/>
        </w:rPr>
        <w:t>7.1       GESTÃO PRÓPRIA</w:t>
      </w:r>
      <w:bookmarkEnd w:id="74"/>
    </w:p>
    <w:p w:rsidR="00B75C56" w:rsidRPr="00FA69E9" w:rsidRDefault="00B75C56" w:rsidP="00FA69E9">
      <w:pPr>
        <w:spacing w:before="240" w:after="100" w:afterAutospacing="1" w:line="240" w:lineRule="auto"/>
        <w:jc w:val="both"/>
        <w:rPr>
          <w:rFonts w:ascii="Times New Roman" w:eastAsia="Times New Roman" w:hAnsi="Times New Roman" w:cs="Times New Roman"/>
          <w:sz w:val="24"/>
          <w:szCs w:val="24"/>
          <w:lang w:eastAsia="pt-BR"/>
        </w:rPr>
      </w:pPr>
      <w:r w:rsidRPr="00FA69E9">
        <w:rPr>
          <w:rFonts w:ascii="Arial" w:eastAsia="Times New Roman" w:hAnsi="Arial" w:cs="Arial"/>
          <w:sz w:val="20"/>
          <w:szCs w:val="20"/>
          <w:lang w:eastAsia="pt-BR"/>
        </w:rPr>
        <w:t xml:space="preserve">A adoção deste modelo de gestão significa que o total dos recursos ficará sob a responsabilidade do </w:t>
      </w:r>
      <w:r w:rsidRPr="00FA69E9">
        <w:rPr>
          <w:rFonts w:ascii="Arial" w:eastAsia="Times New Roman" w:hAnsi="Arial" w:cs="Arial"/>
          <w:b/>
          <w:bCs/>
          <w:sz w:val="20"/>
          <w:szCs w:val="20"/>
          <w:lang w:eastAsia="pt-BR"/>
        </w:rPr>
        <w:t>FUNDO MUNICIPAL DE APOSENTADORIA E PENSÃO DE FERNÃO</w:t>
      </w:r>
      <w:r w:rsidRPr="00FA69E9">
        <w:rPr>
          <w:rFonts w:ascii="Arial" w:eastAsia="Times New Roman" w:hAnsi="Arial" w:cs="Arial"/>
          <w:sz w:val="20"/>
          <w:szCs w:val="20"/>
          <w:lang w:eastAsia="pt-BR"/>
        </w:rPr>
        <w:t xml:space="preserve"> e os agentes envolvidos diretamente no processo de investimento.</w:t>
      </w:r>
    </w:p>
    <w:p w:rsidR="00B75C56" w:rsidRPr="00FA69E9" w:rsidRDefault="00B75C56" w:rsidP="00FA69E9">
      <w:pPr>
        <w:spacing w:before="240" w:after="100" w:afterAutospacing="1" w:line="240" w:lineRule="auto"/>
        <w:jc w:val="both"/>
        <w:rPr>
          <w:rFonts w:ascii="Times New Roman" w:eastAsia="Times New Roman" w:hAnsi="Times New Roman" w:cs="Times New Roman"/>
          <w:sz w:val="24"/>
          <w:szCs w:val="24"/>
          <w:lang w:eastAsia="pt-BR"/>
        </w:rPr>
      </w:pPr>
      <w:r w:rsidRPr="00FA69E9">
        <w:rPr>
          <w:rFonts w:ascii="Arial" w:eastAsia="Times New Roman" w:hAnsi="Arial" w:cs="Arial"/>
          <w:sz w:val="20"/>
          <w:szCs w:val="20"/>
          <w:lang w:eastAsia="pt-BR"/>
        </w:rPr>
        <w:t>A gestão contará com profissionais qualificados e certificados por entidade de certificação reconhecida pelo Ministério da Fazenda, Secretária de Previdência, conforme exigência da Portaria MPS nº 519, de 24 de agosto de 2011.</w:t>
      </w:r>
    </w:p>
    <w:p w:rsidR="00B75C56" w:rsidRPr="009E0B6F" w:rsidRDefault="00B75C56" w:rsidP="009E0B6F">
      <w:pPr>
        <w:spacing w:before="240" w:after="100" w:afterAutospacing="1" w:line="240" w:lineRule="auto"/>
        <w:jc w:val="both"/>
        <w:rPr>
          <w:rFonts w:ascii="Times New Roman" w:eastAsia="Times New Roman" w:hAnsi="Times New Roman" w:cs="Times New Roman"/>
          <w:sz w:val="24"/>
          <w:szCs w:val="24"/>
          <w:lang w:eastAsia="pt-BR"/>
        </w:rPr>
      </w:pPr>
      <w:r w:rsidRPr="009E0B6F">
        <w:rPr>
          <w:rFonts w:ascii="Arial" w:eastAsia="Times New Roman" w:hAnsi="Arial" w:cs="Arial"/>
          <w:sz w:val="20"/>
          <w:szCs w:val="20"/>
          <w:lang w:eastAsia="pt-BR"/>
        </w:rPr>
        <w:t xml:space="preserve">Com um Comitê de Investimentos que exercerá função de executor no processo de cumprimento da Política de Investimentos e outras diretrizes </w:t>
      </w:r>
      <w:proofErr w:type="gramStart"/>
      <w:r w:rsidRPr="009E0B6F">
        <w:rPr>
          <w:rFonts w:ascii="Arial" w:eastAsia="Times New Roman" w:hAnsi="Arial" w:cs="Arial"/>
          <w:sz w:val="20"/>
          <w:szCs w:val="20"/>
          <w:lang w:eastAsia="pt-BR"/>
        </w:rPr>
        <w:t>legais a ele atribuído, conjuntamente com a Diretoria Executiva, tendo assim, suas ações deliberadas e fiscalizadas por conselhos competentes</w:t>
      </w:r>
      <w:proofErr w:type="gramEnd"/>
      <w:r w:rsidRPr="009E0B6F">
        <w:rPr>
          <w:rFonts w:ascii="Arial" w:eastAsia="Times New Roman" w:hAnsi="Arial" w:cs="Arial"/>
          <w:sz w:val="20"/>
          <w:szCs w:val="20"/>
          <w:lang w:eastAsia="pt-BR"/>
        </w:rPr>
        <w:t>.</w:t>
      </w:r>
    </w:p>
    <w:p w:rsidR="00B75C56" w:rsidRPr="009E0B6F" w:rsidRDefault="00B75C56" w:rsidP="009E0B6F">
      <w:pPr>
        <w:spacing w:before="240" w:after="100" w:afterAutospacing="1" w:line="240" w:lineRule="auto"/>
        <w:jc w:val="both"/>
        <w:rPr>
          <w:rFonts w:ascii="Times New Roman" w:eastAsia="Times New Roman" w:hAnsi="Times New Roman" w:cs="Times New Roman"/>
          <w:sz w:val="24"/>
          <w:szCs w:val="24"/>
          <w:lang w:eastAsia="pt-BR"/>
        </w:rPr>
      </w:pPr>
      <w:r w:rsidRPr="009E0B6F">
        <w:rPr>
          <w:rFonts w:ascii="Arial" w:eastAsia="Times New Roman" w:hAnsi="Arial" w:cs="Arial"/>
          <w:sz w:val="20"/>
          <w:szCs w:val="20"/>
          <w:lang w:eastAsia="pt-BR"/>
        </w:rPr>
        <w:t xml:space="preserve">O </w:t>
      </w:r>
      <w:r w:rsidRPr="009E0B6F">
        <w:rPr>
          <w:rFonts w:ascii="Arial" w:eastAsia="Times New Roman" w:hAnsi="Arial" w:cs="Arial"/>
          <w:b/>
          <w:bCs/>
          <w:sz w:val="20"/>
          <w:szCs w:val="20"/>
          <w:lang w:eastAsia="pt-BR"/>
        </w:rPr>
        <w:t>FUNDO MUNICIPAL DE APOSENTADORIA E PENSÃO DE FERNÃO</w:t>
      </w:r>
      <w:r w:rsidRPr="009E0B6F">
        <w:rPr>
          <w:rFonts w:ascii="Arial" w:eastAsia="Times New Roman" w:hAnsi="Arial" w:cs="Arial"/>
          <w:sz w:val="20"/>
          <w:szCs w:val="20"/>
          <w:lang w:eastAsia="pt-BR"/>
        </w:rPr>
        <w:t xml:space="preserve"> tem ainda a prerrogativa da contratação de empresa de Consultoria de Valores Mobiliários, de acordo com os critérios estabelecidos na Resolução CMN nº 3.922/2010, Portaria n° 519, de 24 de agosto de 2011 e Instrução CVM n° 592, de 17 de novembro de 2017, para a prestação dos serviços de orientação, recomendação e aconselhamento, sobre investimentos no mercado de valores mobiliários, cuja adoção e </w:t>
      </w:r>
      <w:proofErr w:type="gramStart"/>
      <w:r w:rsidRPr="009E0B6F">
        <w:rPr>
          <w:rFonts w:ascii="Arial" w:eastAsia="Times New Roman" w:hAnsi="Arial" w:cs="Arial"/>
          <w:sz w:val="20"/>
          <w:szCs w:val="20"/>
          <w:lang w:eastAsia="pt-BR"/>
        </w:rPr>
        <w:t>implementação</w:t>
      </w:r>
      <w:proofErr w:type="gramEnd"/>
      <w:r w:rsidRPr="009E0B6F">
        <w:rPr>
          <w:rFonts w:ascii="Arial" w:eastAsia="Times New Roman" w:hAnsi="Arial" w:cs="Arial"/>
          <w:sz w:val="20"/>
          <w:szCs w:val="20"/>
          <w:lang w:eastAsia="pt-BR"/>
        </w:rPr>
        <w:t xml:space="preserve"> sejam únicas e exclusivas do </w:t>
      </w:r>
      <w:r w:rsidRPr="009E0B6F">
        <w:rPr>
          <w:rFonts w:ascii="Arial" w:eastAsia="Times New Roman" w:hAnsi="Arial" w:cs="Arial"/>
          <w:b/>
          <w:bCs/>
          <w:sz w:val="20"/>
          <w:szCs w:val="20"/>
          <w:lang w:eastAsia="pt-BR"/>
        </w:rPr>
        <w:t>FUNDO MUNICIPAL DE APOSENTADORIA E PENSÃO DE FERNÃO</w:t>
      </w:r>
      <w:r w:rsidRPr="009E0B6F">
        <w:rPr>
          <w:rFonts w:ascii="Arial" w:eastAsia="Times New Roman" w:hAnsi="Arial" w:cs="Arial"/>
          <w:sz w:val="20"/>
          <w:szCs w:val="20"/>
          <w:lang w:eastAsia="pt-BR"/>
        </w:rPr>
        <w:t>.</w:t>
      </w:r>
    </w:p>
    <w:p w:rsidR="00B75C56" w:rsidRPr="009E0B6F" w:rsidRDefault="00B75C56" w:rsidP="00B75C56">
      <w:pPr>
        <w:spacing w:before="100" w:beforeAutospacing="1" w:after="100" w:afterAutospacing="1" w:line="240" w:lineRule="auto"/>
        <w:outlineLvl w:val="1"/>
        <w:rPr>
          <w:rFonts w:ascii="Arial" w:eastAsia="Times New Roman" w:hAnsi="Arial" w:cs="Arial"/>
          <w:b/>
          <w:bCs/>
          <w:lang w:eastAsia="pt-BR"/>
        </w:rPr>
      </w:pPr>
      <w:bookmarkStart w:id="75" w:name="_Toc20130607"/>
      <w:bookmarkStart w:id="76" w:name="_Toc490036555"/>
      <w:bookmarkStart w:id="77" w:name="_Toc435202749"/>
      <w:bookmarkStart w:id="78" w:name="_Toc435189691"/>
      <w:bookmarkEnd w:id="75"/>
      <w:bookmarkEnd w:id="76"/>
      <w:bookmarkEnd w:id="77"/>
      <w:r w:rsidRPr="009E0B6F">
        <w:rPr>
          <w:rFonts w:ascii="Arial" w:eastAsia="Times New Roman" w:hAnsi="Arial" w:cs="Arial"/>
          <w:b/>
          <w:bCs/>
          <w:lang w:eastAsia="pt-BR"/>
        </w:rPr>
        <w:t>7.2       ÓRGÃOS DE E</w:t>
      </w:r>
      <w:bookmarkEnd w:id="78"/>
      <w:r w:rsidRPr="009E0B6F">
        <w:rPr>
          <w:rFonts w:ascii="Arial" w:eastAsia="Times New Roman" w:hAnsi="Arial" w:cs="Arial"/>
          <w:b/>
          <w:bCs/>
          <w:lang w:eastAsia="pt-BR"/>
        </w:rPr>
        <w:t>XECUÇÃO</w:t>
      </w:r>
    </w:p>
    <w:p w:rsidR="00B75C56" w:rsidRPr="009E0B6F" w:rsidRDefault="00B75C56" w:rsidP="009E0B6F">
      <w:pPr>
        <w:spacing w:before="288" w:after="0" w:line="240" w:lineRule="auto"/>
        <w:jc w:val="both"/>
        <w:rPr>
          <w:rFonts w:ascii="Times New Roman" w:eastAsia="Times New Roman" w:hAnsi="Times New Roman" w:cs="Times New Roman"/>
          <w:sz w:val="24"/>
          <w:szCs w:val="24"/>
          <w:lang w:eastAsia="pt-BR"/>
        </w:rPr>
      </w:pPr>
      <w:r w:rsidRPr="009E0B6F">
        <w:rPr>
          <w:rFonts w:ascii="Arial" w:eastAsia="Times New Roman" w:hAnsi="Arial" w:cs="Arial"/>
          <w:sz w:val="20"/>
          <w:szCs w:val="20"/>
          <w:lang w:eastAsia="pt-BR"/>
        </w:rPr>
        <w:t>Compete ao Comitê de Investimentos a elaboração da Política de Investimento juntamente com a Diretoria Executiva, que deve submetê-la para aprovação ao Conselho Deliberativo</w:t>
      </w:r>
      <w:r w:rsidR="009E0B6F">
        <w:rPr>
          <w:rFonts w:ascii="Arial" w:eastAsia="Times New Roman" w:hAnsi="Arial" w:cs="Arial"/>
          <w:sz w:val="20"/>
          <w:szCs w:val="20"/>
          <w:lang w:eastAsia="pt-BR"/>
        </w:rPr>
        <w:t xml:space="preserve"> </w:t>
      </w:r>
      <w:r w:rsidRPr="009E0B6F">
        <w:rPr>
          <w:rFonts w:ascii="Arial" w:eastAsia="Times New Roman" w:hAnsi="Arial" w:cs="Arial"/>
          <w:sz w:val="20"/>
          <w:szCs w:val="20"/>
          <w:lang w:eastAsia="pt-BR"/>
        </w:rPr>
        <w:t>e fiscalização do</w:t>
      </w:r>
      <w:r w:rsidRPr="00B75C56">
        <w:rPr>
          <w:rFonts w:ascii="Arial" w:eastAsia="Times New Roman" w:hAnsi="Arial" w:cs="Arial"/>
          <w:color w:val="FF0000"/>
          <w:sz w:val="20"/>
          <w:szCs w:val="20"/>
          <w:lang w:eastAsia="pt-BR"/>
        </w:rPr>
        <w:t xml:space="preserve"> </w:t>
      </w:r>
      <w:r w:rsidRPr="009E0B6F">
        <w:rPr>
          <w:rFonts w:ascii="Arial" w:eastAsia="Times New Roman" w:hAnsi="Arial" w:cs="Arial"/>
          <w:sz w:val="20"/>
          <w:szCs w:val="20"/>
          <w:lang w:eastAsia="pt-BR"/>
        </w:rPr>
        <w:lastRenderedPageBreak/>
        <w:t xml:space="preserve">Conselho Fiscal, órgãos competentes do </w:t>
      </w:r>
      <w:r w:rsidRPr="009E0B6F">
        <w:rPr>
          <w:rFonts w:ascii="Arial" w:eastAsia="Times New Roman" w:hAnsi="Arial" w:cs="Arial"/>
          <w:b/>
          <w:bCs/>
          <w:sz w:val="20"/>
          <w:szCs w:val="20"/>
          <w:lang w:eastAsia="pt-BR"/>
        </w:rPr>
        <w:t>FUNDO MUNICIPAL DE APOSENTADORIA E PENSÃO DE FERNÃO</w:t>
      </w:r>
      <w:r w:rsidRPr="009E0B6F">
        <w:rPr>
          <w:rFonts w:ascii="Arial" w:eastAsia="Times New Roman" w:hAnsi="Arial" w:cs="Arial"/>
          <w:sz w:val="20"/>
          <w:szCs w:val="20"/>
          <w:lang w:eastAsia="pt-BR"/>
        </w:rPr>
        <w:t>.</w:t>
      </w:r>
    </w:p>
    <w:p w:rsidR="00B75C56" w:rsidRPr="009E0B6F" w:rsidRDefault="00B75C56" w:rsidP="009E0B6F">
      <w:pPr>
        <w:spacing w:before="288" w:after="0" w:line="240" w:lineRule="auto"/>
        <w:jc w:val="both"/>
        <w:rPr>
          <w:rFonts w:ascii="Times New Roman" w:eastAsia="Times New Roman" w:hAnsi="Times New Roman" w:cs="Times New Roman"/>
          <w:sz w:val="24"/>
          <w:szCs w:val="24"/>
          <w:lang w:eastAsia="pt-BR"/>
        </w:rPr>
      </w:pPr>
      <w:r w:rsidRPr="009E0B6F">
        <w:rPr>
          <w:rFonts w:ascii="Arial" w:eastAsia="Times New Roman" w:hAnsi="Arial" w:cs="Arial"/>
          <w:sz w:val="20"/>
          <w:szCs w:val="20"/>
          <w:lang w:eastAsia="pt-BR"/>
        </w:rPr>
        <w:t>Essa estrutura garante a demonstração da Segregação de Atividades adotadas pelos órgãos de execução, estando em linha com as práticas de mercado para uma boa governança previdenciária.</w:t>
      </w:r>
    </w:p>
    <w:p w:rsidR="00B75C56" w:rsidRPr="009E0B6F" w:rsidRDefault="00B75C56" w:rsidP="009E0B6F">
      <w:pPr>
        <w:spacing w:before="288" w:after="0" w:line="240" w:lineRule="auto"/>
        <w:jc w:val="both"/>
        <w:rPr>
          <w:rFonts w:ascii="Times New Roman" w:eastAsia="Times New Roman" w:hAnsi="Times New Roman" w:cs="Times New Roman"/>
          <w:sz w:val="24"/>
          <w:szCs w:val="24"/>
          <w:lang w:eastAsia="pt-BR"/>
        </w:rPr>
      </w:pPr>
      <w:r w:rsidRPr="009E0B6F">
        <w:rPr>
          <w:rFonts w:ascii="Arial" w:eastAsia="Times New Roman" w:hAnsi="Arial" w:cs="Arial"/>
          <w:sz w:val="20"/>
          <w:szCs w:val="20"/>
          <w:lang w:eastAsia="pt-BR"/>
        </w:rPr>
        <w:t>Em casos de Conflitos de Interesse entre os membros do Comitê de Investimentos, Diretoria Executiva e Conselhos, a participação do conflitante com voto de deliberação será impedida e/ou anulada e devidamente documentada via Ata de Reunião.</w:t>
      </w:r>
    </w:p>
    <w:p w:rsidR="00B75C56" w:rsidRPr="009E0B6F" w:rsidRDefault="00B75C56" w:rsidP="009E0B6F">
      <w:pPr>
        <w:spacing w:before="288" w:after="0" w:line="240" w:lineRule="auto"/>
        <w:jc w:val="both"/>
        <w:rPr>
          <w:rFonts w:ascii="Times New Roman" w:eastAsia="Times New Roman" w:hAnsi="Times New Roman" w:cs="Times New Roman"/>
          <w:sz w:val="24"/>
          <w:szCs w:val="24"/>
          <w:lang w:eastAsia="pt-BR"/>
        </w:rPr>
      </w:pPr>
      <w:r w:rsidRPr="009E0B6F">
        <w:rPr>
          <w:rFonts w:ascii="Arial" w:eastAsia="Times New Roman" w:hAnsi="Arial" w:cs="Arial"/>
          <w:sz w:val="20"/>
          <w:szCs w:val="20"/>
          <w:lang w:eastAsia="pt-BR"/>
        </w:rPr>
        <w:t xml:space="preserve">Não fica excluída a possibilidade da Consultoria de Valores Mobiliários </w:t>
      </w:r>
      <w:r w:rsidR="009E0B6F" w:rsidRPr="009E0B6F">
        <w:rPr>
          <w:rFonts w:ascii="Arial" w:eastAsia="Times New Roman" w:hAnsi="Arial" w:cs="Arial"/>
          <w:sz w:val="20"/>
          <w:szCs w:val="20"/>
          <w:lang w:eastAsia="pt-BR"/>
        </w:rPr>
        <w:t>fornecerem</w:t>
      </w:r>
      <w:r w:rsidRPr="009E0B6F">
        <w:rPr>
          <w:rFonts w:ascii="Arial" w:eastAsia="Times New Roman" w:hAnsi="Arial" w:cs="Arial"/>
          <w:sz w:val="20"/>
          <w:szCs w:val="20"/>
          <w:lang w:eastAsia="pt-BR"/>
        </w:rPr>
        <w:t xml:space="preserve"> "minuta" para apreciação do Comitê de Investimentos e Diretoria Executiva.</w:t>
      </w:r>
    </w:p>
    <w:p w:rsidR="00B75C56" w:rsidRPr="009E0B6F" w:rsidRDefault="00B75C56" w:rsidP="00B75C56">
      <w:pPr>
        <w:spacing w:before="288" w:after="0" w:line="240" w:lineRule="auto"/>
        <w:rPr>
          <w:rFonts w:ascii="Times New Roman" w:eastAsia="Times New Roman" w:hAnsi="Times New Roman" w:cs="Times New Roman"/>
          <w:sz w:val="24"/>
          <w:szCs w:val="24"/>
          <w:lang w:eastAsia="pt-BR"/>
        </w:rPr>
      </w:pPr>
      <w:r w:rsidRPr="009E0B6F">
        <w:rPr>
          <w:rFonts w:ascii="Arial" w:eastAsia="Times New Roman" w:hAnsi="Arial" w:cs="Arial"/>
          <w:sz w:val="20"/>
          <w:szCs w:val="20"/>
          <w:lang w:eastAsia="pt-BR"/>
        </w:rPr>
        <w:t> </w:t>
      </w:r>
    </w:p>
    <w:p w:rsidR="00B75C56" w:rsidRPr="009E0B6F" w:rsidRDefault="00B75C56" w:rsidP="009E0B6F">
      <w:pPr>
        <w:spacing w:before="288" w:after="0" w:line="240" w:lineRule="auto"/>
        <w:rPr>
          <w:rFonts w:ascii="Times New Roman" w:eastAsia="Times New Roman" w:hAnsi="Times New Roman" w:cs="Times New Roman"/>
          <w:b/>
          <w:bCs/>
          <w:kern w:val="36"/>
          <w:sz w:val="48"/>
          <w:szCs w:val="48"/>
          <w:lang w:eastAsia="pt-BR"/>
        </w:rPr>
      </w:pPr>
      <w:r w:rsidRPr="009E0B6F">
        <w:rPr>
          <w:rFonts w:ascii="Arial" w:eastAsia="Times New Roman" w:hAnsi="Arial" w:cs="Arial"/>
          <w:sz w:val="20"/>
          <w:szCs w:val="20"/>
          <w:lang w:eastAsia="pt-BR"/>
        </w:rPr>
        <w:t> </w:t>
      </w:r>
      <w:bookmarkStart w:id="79" w:name="_Toc20130608"/>
      <w:bookmarkStart w:id="80" w:name="_Toc490036556"/>
      <w:bookmarkStart w:id="81" w:name="_Toc435202750"/>
      <w:bookmarkEnd w:id="79"/>
      <w:bookmarkEnd w:id="80"/>
      <w:proofErr w:type="gramStart"/>
      <w:r w:rsidRPr="009E0B6F">
        <w:rPr>
          <w:rFonts w:ascii="Arial" w:eastAsia="Times New Roman" w:hAnsi="Arial" w:cs="Arial"/>
          <w:b/>
          <w:bCs/>
          <w:kern w:val="36"/>
          <w:lang w:eastAsia="pt-BR"/>
        </w:rPr>
        <w:t>8</w:t>
      </w:r>
      <w:proofErr w:type="gramEnd"/>
      <w:r w:rsidRPr="009E0B6F">
        <w:rPr>
          <w:rFonts w:ascii="Times New Roman" w:eastAsia="Times New Roman" w:hAnsi="Times New Roman" w:cs="Times New Roman"/>
          <w:b/>
          <w:bCs/>
          <w:kern w:val="36"/>
          <w:sz w:val="14"/>
          <w:szCs w:val="14"/>
          <w:lang w:eastAsia="pt-BR"/>
        </w:rPr>
        <w:t xml:space="preserve">       </w:t>
      </w:r>
      <w:r w:rsidRPr="009E0B6F">
        <w:rPr>
          <w:rFonts w:ascii="Arial" w:eastAsia="Times New Roman" w:hAnsi="Arial" w:cs="Arial"/>
          <w:b/>
          <w:bCs/>
          <w:kern w:val="36"/>
          <w:lang w:eastAsia="pt-BR"/>
        </w:rPr>
        <w:t>CONTROLE DE RISCO</w:t>
      </w:r>
      <w:bookmarkEnd w:id="81"/>
    </w:p>
    <w:p w:rsidR="00B75C56" w:rsidRPr="009E0B6F" w:rsidRDefault="00B75C56" w:rsidP="009E0B6F">
      <w:pPr>
        <w:spacing w:before="288" w:after="0" w:line="240" w:lineRule="auto"/>
        <w:jc w:val="both"/>
        <w:rPr>
          <w:rFonts w:ascii="Times New Roman" w:eastAsia="Times New Roman" w:hAnsi="Times New Roman" w:cs="Times New Roman"/>
          <w:sz w:val="24"/>
          <w:szCs w:val="24"/>
          <w:lang w:eastAsia="pt-BR"/>
        </w:rPr>
      </w:pPr>
      <w:r w:rsidRPr="009E0B6F">
        <w:rPr>
          <w:rFonts w:ascii="Arial" w:eastAsia="Times New Roman" w:hAnsi="Arial" w:cs="Arial"/>
          <w:sz w:val="20"/>
          <w:szCs w:val="20"/>
          <w:lang w:eastAsia="pt-BR"/>
        </w:rPr>
        <w:t xml:space="preserve">É relevante mencionar que qualquer aplicação financeira está sujeita à incidência de fatores de risco que podem afetar adversamente o seu retorno, e </w:t>
      </w:r>
      <w:r w:rsidR="009E0B6F" w:rsidRPr="009E0B6F">
        <w:rPr>
          <w:rFonts w:ascii="Arial" w:eastAsia="Times New Roman" w:hAnsi="Arial" w:cs="Arial"/>
          <w:sz w:val="20"/>
          <w:szCs w:val="20"/>
          <w:lang w:eastAsia="pt-BR"/>
        </w:rPr>
        <w:t>conseqüentemente</w:t>
      </w:r>
      <w:r w:rsidRPr="009E0B6F">
        <w:rPr>
          <w:rFonts w:ascii="Arial" w:eastAsia="Times New Roman" w:hAnsi="Arial" w:cs="Arial"/>
          <w:sz w:val="20"/>
          <w:szCs w:val="20"/>
          <w:lang w:eastAsia="pt-BR"/>
        </w:rPr>
        <w:t xml:space="preserve">, fica o </w:t>
      </w:r>
      <w:r w:rsidRPr="009E0B6F">
        <w:rPr>
          <w:rFonts w:ascii="Arial" w:eastAsia="Times New Roman" w:hAnsi="Arial" w:cs="Arial"/>
          <w:b/>
          <w:bCs/>
          <w:sz w:val="20"/>
          <w:szCs w:val="20"/>
          <w:lang w:eastAsia="pt-BR"/>
        </w:rPr>
        <w:t>FUNDO MUNICIPAL DE APOSENTADORIA E PENSÃO DE FERNÃO</w:t>
      </w:r>
      <w:r w:rsidRPr="009E0B6F">
        <w:rPr>
          <w:rFonts w:ascii="Times New Roman" w:eastAsia="Times New Roman" w:hAnsi="Times New Roman" w:cs="Times New Roman"/>
          <w:sz w:val="24"/>
          <w:szCs w:val="24"/>
          <w:lang w:eastAsia="pt-BR"/>
        </w:rPr>
        <w:t xml:space="preserve"> </w:t>
      </w:r>
      <w:r w:rsidRPr="009E0B6F">
        <w:rPr>
          <w:rFonts w:ascii="Arial" w:eastAsia="Times New Roman" w:hAnsi="Arial" w:cs="Arial"/>
          <w:sz w:val="20"/>
          <w:szCs w:val="20"/>
          <w:lang w:eastAsia="pt-BR"/>
        </w:rPr>
        <w:t>obrigada a exercer o acompanhamento e o controle sobre esses riscos, considerando entre eles:</w:t>
      </w:r>
    </w:p>
    <w:p w:rsidR="00B75C56" w:rsidRPr="009E0B6F" w:rsidRDefault="00B75C56" w:rsidP="009E0B6F">
      <w:pPr>
        <w:spacing w:before="288" w:after="0" w:line="240" w:lineRule="auto"/>
        <w:ind w:left="1068" w:hanging="360"/>
        <w:jc w:val="both"/>
        <w:rPr>
          <w:rFonts w:ascii="Times New Roman" w:eastAsia="Times New Roman" w:hAnsi="Times New Roman" w:cs="Times New Roman"/>
          <w:sz w:val="24"/>
          <w:szCs w:val="24"/>
          <w:lang w:eastAsia="pt-BR"/>
        </w:rPr>
      </w:pPr>
      <w:r w:rsidRPr="009E0B6F">
        <w:rPr>
          <w:rFonts w:ascii="Symbol" w:eastAsia="Times New Roman" w:hAnsi="Symbol" w:cs="Times New Roman"/>
          <w:sz w:val="20"/>
          <w:szCs w:val="20"/>
          <w:lang w:eastAsia="pt-BR"/>
        </w:rPr>
        <w:t></w:t>
      </w:r>
      <w:r w:rsidRPr="009E0B6F">
        <w:rPr>
          <w:rFonts w:ascii="Times New Roman" w:eastAsia="Times New Roman" w:hAnsi="Times New Roman" w:cs="Times New Roman"/>
          <w:sz w:val="14"/>
          <w:szCs w:val="14"/>
          <w:lang w:eastAsia="pt-BR"/>
        </w:rPr>
        <w:t xml:space="preserve">         </w:t>
      </w:r>
      <w:r w:rsidRPr="009E0B6F">
        <w:rPr>
          <w:rFonts w:ascii="Arial" w:eastAsia="Times New Roman" w:hAnsi="Arial" w:cs="Arial"/>
          <w:b/>
          <w:bCs/>
          <w:sz w:val="20"/>
          <w:szCs w:val="20"/>
          <w:lang w:eastAsia="pt-BR"/>
        </w:rPr>
        <w:t>Risco de Mercado</w:t>
      </w:r>
      <w:r w:rsidRPr="009E0B6F">
        <w:rPr>
          <w:rFonts w:ascii="Arial" w:eastAsia="Times New Roman" w:hAnsi="Arial" w:cs="Arial"/>
          <w:sz w:val="20"/>
          <w:szCs w:val="20"/>
          <w:lang w:eastAsia="pt-BR"/>
        </w:rPr>
        <w:t xml:space="preserve"> - é o risco inerente a todas as modalidades de aplicações financeiras disponíveis no mercado financeiro; corresponde à incerteza em relação ao resultado de um investimento financeiro ou de uma carteira de investimento, em decorrência de mudanças futuras nas condições de mercado. É o risco de variações, oscilações nas taxas e preços de mercado, tais como </w:t>
      </w:r>
      <w:proofErr w:type="gramStart"/>
      <w:r w:rsidRPr="009E0B6F">
        <w:rPr>
          <w:rFonts w:ascii="Arial" w:eastAsia="Times New Roman" w:hAnsi="Arial" w:cs="Arial"/>
          <w:sz w:val="20"/>
          <w:szCs w:val="20"/>
          <w:lang w:eastAsia="pt-BR"/>
        </w:rPr>
        <w:t>taxa</w:t>
      </w:r>
      <w:proofErr w:type="gramEnd"/>
      <w:r w:rsidRPr="009E0B6F">
        <w:rPr>
          <w:rFonts w:ascii="Arial" w:eastAsia="Times New Roman" w:hAnsi="Arial" w:cs="Arial"/>
          <w:sz w:val="20"/>
          <w:szCs w:val="20"/>
          <w:lang w:eastAsia="pt-BR"/>
        </w:rPr>
        <w:t xml:space="preserve"> de juros, preços de ações e outros índices. É ligado às oscilações do mercado financeiro.</w:t>
      </w:r>
    </w:p>
    <w:p w:rsidR="00B75C56" w:rsidRPr="009E0B6F" w:rsidRDefault="00B75C56" w:rsidP="009E0B6F">
      <w:pPr>
        <w:spacing w:before="288" w:after="0" w:line="240" w:lineRule="auto"/>
        <w:ind w:left="1068" w:hanging="360"/>
        <w:jc w:val="both"/>
        <w:rPr>
          <w:rFonts w:ascii="Times New Roman" w:eastAsia="Times New Roman" w:hAnsi="Times New Roman" w:cs="Times New Roman"/>
          <w:sz w:val="24"/>
          <w:szCs w:val="24"/>
          <w:lang w:eastAsia="pt-BR"/>
        </w:rPr>
      </w:pPr>
      <w:r w:rsidRPr="009E0B6F">
        <w:rPr>
          <w:rFonts w:ascii="Symbol" w:eastAsia="Times New Roman" w:hAnsi="Symbol" w:cs="Times New Roman"/>
          <w:sz w:val="20"/>
          <w:szCs w:val="20"/>
          <w:lang w:eastAsia="pt-BR"/>
        </w:rPr>
        <w:t></w:t>
      </w:r>
      <w:r w:rsidRPr="009E0B6F">
        <w:rPr>
          <w:rFonts w:ascii="Times New Roman" w:eastAsia="Times New Roman" w:hAnsi="Times New Roman" w:cs="Times New Roman"/>
          <w:sz w:val="14"/>
          <w:szCs w:val="14"/>
          <w:lang w:eastAsia="pt-BR"/>
        </w:rPr>
        <w:t xml:space="preserve">         </w:t>
      </w:r>
      <w:r w:rsidRPr="009E0B6F">
        <w:rPr>
          <w:rFonts w:ascii="Arial" w:eastAsia="Times New Roman" w:hAnsi="Arial" w:cs="Arial"/>
          <w:b/>
          <w:bCs/>
          <w:sz w:val="20"/>
          <w:szCs w:val="20"/>
          <w:lang w:eastAsia="pt-BR"/>
        </w:rPr>
        <w:t>Risco de Crédito</w:t>
      </w:r>
      <w:r w:rsidRPr="009E0B6F">
        <w:rPr>
          <w:rFonts w:ascii="Arial" w:eastAsia="Times New Roman" w:hAnsi="Arial" w:cs="Arial"/>
          <w:sz w:val="20"/>
          <w:szCs w:val="20"/>
          <w:lang w:eastAsia="pt-BR"/>
        </w:rPr>
        <w:t xml:space="preserve"> - também conhecido como risco institucional ou de contraparte, é aquele em que há a possibilidade de o retorno de investimento não ser honrado pela instituição que emitiu determinado título, na data e nas condições negociadas e contratadas;</w:t>
      </w:r>
    </w:p>
    <w:p w:rsidR="00B75C56" w:rsidRPr="009E0B6F" w:rsidRDefault="00B75C56" w:rsidP="009E0B6F">
      <w:pPr>
        <w:spacing w:before="288" w:after="0" w:line="240" w:lineRule="auto"/>
        <w:ind w:left="1068" w:hanging="360"/>
        <w:jc w:val="both"/>
        <w:rPr>
          <w:rFonts w:ascii="Times New Roman" w:eastAsia="Times New Roman" w:hAnsi="Times New Roman" w:cs="Times New Roman"/>
          <w:sz w:val="24"/>
          <w:szCs w:val="24"/>
          <w:lang w:eastAsia="pt-BR"/>
        </w:rPr>
      </w:pPr>
      <w:r w:rsidRPr="009E0B6F">
        <w:rPr>
          <w:rFonts w:ascii="Symbol" w:eastAsia="Times New Roman" w:hAnsi="Symbol" w:cs="Times New Roman"/>
          <w:sz w:val="20"/>
          <w:szCs w:val="20"/>
          <w:lang w:eastAsia="pt-BR"/>
        </w:rPr>
        <w:t></w:t>
      </w:r>
      <w:r w:rsidRPr="009E0B6F">
        <w:rPr>
          <w:rFonts w:ascii="Times New Roman" w:eastAsia="Times New Roman" w:hAnsi="Times New Roman" w:cs="Times New Roman"/>
          <w:sz w:val="14"/>
          <w:szCs w:val="14"/>
          <w:lang w:eastAsia="pt-BR"/>
        </w:rPr>
        <w:t xml:space="preserve">         </w:t>
      </w:r>
      <w:r w:rsidRPr="009E0B6F">
        <w:rPr>
          <w:rFonts w:ascii="Arial" w:eastAsia="Times New Roman" w:hAnsi="Arial" w:cs="Arial"/>
          <w:b/>
          <w:bCs/>
          <w:sz w:val="20"/>
          <w:szCs w:val="20"/>
          <w:lang w:eastAsia="pt-BR"/>
        </w:rPr>
        <w:t>Risco de Liquidez</w:t>
      </w:r>
      <w:r w:rsidRPr="009E0B6F">
        <w:rPr>
          <w:rFonts w:ascii="Arial" w:eastAsia="Times New Roman" w:hAnsi="Arial" w:cs="Arial"/>
          <w:sz w:val="20"/>
          <w:szCs w:val="20"/>
          <w:lang w:eastAsia="pt-BR"/>
        </w:rPr>
        <w:t xml:space="preserve"> - surge da dificuldade em se conseguir encontrar compradores potenciais de um determinado ativo no momento e no preço desejado. Ocorre quando um ativo está com baixo volume de negócios e apresenta grandes diferenças entre o preço que o comprador está disposto a pagar (oferta de compra) e aquele que o vendedor gostaria de vender (oferta de venda). Quando é necessário vender algum ativo num mercado ilíquido, tende a ser difícil conseguir realizar a venda sem sacrificar o preço do ativo negociado</w:t>
      </w:r>
      <w:bookmarkStart w:id="82" w:name="_Toc490036557"/>
      <w:bookmarkStart w:id="83" w:name="_Toc435202751"/>
      <w:bookmarkStart w:id="84" w:name="_Toc435189693"/>
      <w:bookmarkEnd w:id="82"/>
      <w:bookmarkEnd w:id="83"/>
      <w:r w:rsidRPr="009E0B6F">
        <w:rPr>
          <w:rFonts w:ascii="Arial" w:eastAsia="Times New Roman" w:hAnsi="Arial" w:cs="Arial"/>
          <w:sz w:val="20"/>
          <w:szCs w:val="20"/>
          <w:lang w:eastAsia="pt-BR"/>
        </w:rPr>
        <w:t>.</w:t>
      </w:r>
      <w:bookmarkEnd w:id="84"/>
    </w:p>
    <w:p w:rsidR="00B75C56" w:rsidRPr="009E0B6F" w:rsidRDefault="00B75C56" w:rsidP="00B75C56">
      <w:pPr>
        <w:spacing w:before="100" w:beforeAutospacing="1" w:after="100" w:afterAutospacing="1" w:line="240" w:lineRule="auto"/>
        <w:outlineLvl w:val="1"/>
        <w:rPr>
          <w:rFonts w:ascii="Arial" w:eastAsia="Times New Roman" w:hAnsi="Arial" w:cs="Arial"/>
          <w:b/>
          <w:bCs/>
          <w:lang w:eastAsia="pt-BR"/>
        </w:rPr>
      </w:pPr>
      <w:bookmarkStart w:id="85" w:name="_Toc20130609"/>
      <w:r w:rsidRPr="009E0B6F">
        <w:rPr>
          <w:rFonts w:ascii="Arial" w:eastAsia="Times New Roman" w:hAnsi="Arial" w:cs="Arial"/>
          <w:b/>
          <w:bCs/>
          <w:lang w:eastAsia="pt-BR"/>
        </w:rPr>
        <w:t>8.1       C</w:t>
      </w:r>
      <w:bookmarkEnd w:id="85"/>
      <w:r w:rsidRPr="009E0B6F">
        <w:rPr>
          <w:rFonts w:ascii="Arial" w:eastAsia="Times New Roman" w:hAnsi="Arial" w:cs="Arial"/>
          <w:b/>
          <w:bCs/>
          <w:lang w:eastAsia="pt-BR"/>
        </w:rPr>
        <w:t>ONTROLE DO RISCO DE MERCADO</w:t>
      </w:r>
    </w:p>
    <w:p w:rsidR="00B75C56" w:rsidRPr="009E0B6F" w:rsidRDefault="00B75C56" w:rsidP="009E0B6F">
      <w:pPr>
        <w:spacing w:before="288" w:after="100" w:afterAutospacing="1" w:line="240" w:lineRule="auto"/>
        <w:jc w:val="both"/>
        <w:rPr>
          <w:rFonts w:ascii="Times New Roman" w:eastAsia="Times New Roman" w:hAnsi="Times New Roman" w:cs="Times New Roman"/>
          <w:sz w:val="24"/>
          <w:szCs w:val="24"/>
          <w:lang w:eastAsia="pt-BR"/>
        </w:rPr>
      </w:pPr>
      <w:r w:rsidRPr="009E0B6F">
        <w:rPr>
          <w:rFonts w:ascii="Arial" w:eastAsia="Times New Roman" w:hAnsi="Arial" w:cs="Arial"/>
          <w:sz w:val="20"/>
          <w:szCs w:val="20"/>
          <w:lang w:eastAsia="pt-BR"/>
        </w:rPr>
        <w:t xml:space="preserve">O </w:t>
      </w:r>
      <w:r w:rsidRPr="009E0B6F">
        <w:rPr>
          <w:rFonts w:ascii="Arial" w:eastAsia="Times New Roman" w:hAnsi="Arial" w:cs="Arial"/>
          <w:b/>
          <w:bCs/>
          <w:sz w:val="20"/>
          <w:szCs w:val="20"/>
          <w:lang w:eastAsia="pt-BR"/>
        </w:rPr>
        <w:t>FUNDO MUNICIPAL DE APOSENTADORIA E PENSÃO DE FERNÃO</w:t>
      </w:r>
      <w:r w:rsidRPr="009E0B6F">
        <w:rPr>
          <w:rFonts w:ascii="Arial" w:eastAsia="Times New Roman" w:hAnsi="Arial" w:cs="Arial"/>
          <w:sz w:val="20"/>
          <w:szCs w:val="20"/>
          <w:lang w:eastAsia="pt-BR"/>
        </w:rPr>
        <w:t xml:space="preserve"> adota o </w:t>
      </w:r>
      <w:proofErr w:type="spellStart"/>
      <w:proofErr w:type="gramStart"/>
      <w:r w:rsidRPr="009E0B6F">
        <w:rPr>
          <w:rFonts w:ascii="Arial" w:eastAsia="Times New Roman" w:hAnsi="Arial" w:cs="Arial"/>
          <w:b/>
          <w:bCs/>
          <w:sz w:val="20"/>
          <w:szCs w:val="20"/>
          <w:lang w:eastAsia="pt-BR"/>
        </w:rPr>
        <w:t>VaR</w:t>
      </w:r>
      <w:proofErr w:type="spellEnd"/>
      <w:proofErr w:type="gramEnd"/>
      <w:r w:rsidRPr="009E0B6F">
        <w:rPr>
          <w:rFonts w:ascii="Arial" w:eastAsia="Times New Roman" w:hAnsi="Arial" w:cs="Arial"/>
          <w:b/>
          <w:bCs/>
          <w:sz w:val="20"/>
          <w:szCs w:val="20"/>
          <w:lang w:eastAsia="pt-BR"/>
        </w:rPr>
        <w:t xml:space="preserve"> - </w:t>
      </w:r>
      <w:proofErr w:type="spellStart"/>
      <w:r w:rsidRPr="009E0B6F">
        <w:rPr>
          <w:rFonts w:ascii="Arial" w:eastAsia="Times New Roman" w:hAnsi="Arial" w:cs="Arial"/>
          <w:b/>
          <w:bCs/>
          <w:sz w:val="20"/>
          <w:szCs w:val="20"/>
          <w:lang w:eastAsia="pt-BR"/>
        </w:rPr>
        <w:t>Value-at-Risk</w:t>
      </w:r>
      <w:proofErr w:type="spellEnd"/>
      <w:r w:rsidRPr="009E0B6F">
        <w:rPr>
          <w:rFonts w:ascii="Arial" w:eastAsia="Times New Roman" w:hAnsi="Arial" w:cs="Arial"/>
          <w:sz w:val="20"/>
          <w:szCs w:val="20"/>
          <w:lang w:eastAsia="pt-BR"/>
        </w:rPr>
        <w:t xml:space="preserve"> para controle do risco de mercado, utilizando os seguintes parâmetros para o cálculo: </w:t>
      </w:r>
    </w:p>
    <w:p w:rsidR="00B75C56" w:rsidRPr="009E0B6F" w:rsidRDefault="00B75C56" w:rsidP="00B75C56">
      <w:pPr>
        <w:spacing w:before="288" w:after="0" w:line="240" w:lineRule="auto"/>
        <w:ind w:left="1776" w:hanging="360"/>
        <w:rPr>
          <w:rFonts w:ascii="Times New Roman" w:eastAsia="Times New Roman" w:hAnsi="Times New Roman" w:cs="Times New Roman"/>
          <w:sz w:val="24"/>
          <w:szCs w:val="24"/>
          <w:lang w:eastAsia="pt-BR"/>
        </w:rPr>
      </w:pPr>
      <w:r w:rsidRPr="009E0B6F">
        <w:rPr>
          <w:rFonts w:ascii="Symbol" w:eastAsia="Times New Roman" w:hAnsi="Symbol" w:cs="Times New Roman"/>
          <w:sz w:val="20"/>
          <w:szCs w:val="20"/>
          <w:lang w:eastAsia="pt-BR"/>
        </w:rPr>
        <w:t></w:t>
      </w:r>
      <w:r w:rsidRPr="009E0B6F">
        <w:rPr>
          <w:rFonts w:ascii="Times New Roman" w:eastAsia="Times New Roman" w:hAnsi="Times New Roman" w:cs="Times New Roman"/>
          <w:sz w:val="14"/>
          <w:szCs w:val="14"/>
          <w:lang w:eastAsia="pt-BR"/>
        </w:rPr>
        <w:t xml:space="preserve">         </w:t>
      </w:r>
      <w:r w:rsidRPr="009E0B6F">
        <w:rPr>
          <w:rFonts w:ascii="Arial" w:eastAsia="Times New Roman" w:hAnsi="Arial" w:cs="Arial"/>
          <w:sz w:val="20"/>
          <w:szCs w:val="20"/>
          <w:lang w:eastAsia="pt-BR"/>
        </w:rPr>
        <w:t>Modelo paramétrico;</w:t>
      </w:r>
    </w:p>
    <w:p w:rsidR="00B75C56" w:rsidRPr="009E0B6F" w:rsidRDefault="00B75C56" w:rsidP="00B75C56">
      <w:pPr>
        <w:spacing w:before="288" w:after="0" w:line="240" w:lineRule="auto"/>
        <w:ind w:left="1776" w:hanging="360"/>
        <w:rPr>
          <w:rFonts w:ascii="Times New Roman" w:eastAsia="Times New Roman" w:hAnsi="Times New Roman" w:cs="Times New Roman"/>
          <w:sz w:val="24"/>
          <w:szCs w:val="24"/>
          <w:lang w:eastAsia="pt-BR"/>
        </w:rPr>
      </w:pPr>
      <w:r w:rsidRPr="009E0B6F">
        <w:rPr>
          <w:rFonts w:ascii="Symbol" w:eastAsia="Times New Roman" w:hAnsi="Symbol" w:cs="Times New Roman"/>
          <w:sz w:val="20"/>
          <w:szCs w:val="20"/>
          <w:lang w:eastAsia="pt-BR"/>
        </w:rPr>
        <w:t></w:t>
      </w:r>
      <w:r w:rsidRPr="009E0B6F">
        <w:rPr>
          <w:rFonts w:ascii="Times New Roman" w:eastAsia="Times New Roman" w:hAnsi="Times New Roman" w:cs="Times New Roman"/>
          <w:sz w:val="14"/>
          <w:szCs w:val="14"/>
          <w:lang w:eastAsia="pt-BR"/>
        </w:rPr>
        <w:t xml:space="preserve">         </w:t>
      </w:r>
      <w:r w:rsidRPr="009E0B6F">
        <w:rPr>
          <w:rFonts w:ascii="Arial" w:eastAsia="Times New Roman" w:hAnsi="Arial" w:cs="Arial"/>
          <w:sz w:val="20"/>
          <w:szCs w:val="20"/>
          <w:lang w:eastAsia="pt-BR"/>
        </w:rPr>
        <w:t>Intervalo de confiança de 95% (noventa e cinco por cento);</w:t>
      </w:r>
    </w:p>
    <w:p w:rsidR="00B75C56" w:rsidRPr="009E0B6F" w:rsidRDefault="00B75C56" w:rsidP="00B75C56">
      <w:pPr>
        <w:spacing w:before="288" w:after="0" w:line="240" w:lineRule="auto"/>
        <w:ind w:left="1776" w:hanging="360"/>
        <w:rPr>
          <w:rFonts w:ascii="Times New Roman" w:eastAsia="Times New Roman" w:hAnsi="Times New Roman" w:cs="Times New Roman"/>
          <w:sz w:val="24"/>
          <w:szCs w:val="24"/>
          <w:lang w:eastAsia="pt-BR"/>
        </w:rPr>
      </w:pPr>
      <w:r w:rsidRPr="009E0B6F">
        <w:rPr>
          <w:rFonts w:ascii="Symbol" w:eastAsia="Times New Roman" w:hAnsi="Symbol" w:cs="Times New Roman"/>
          <w:sz w:val="20"/>
          <w:szCs w:val="20"/>
          <w:lang w:eastAsia="pt-BR"/>
        </w:rPr>
        <w:t></w:t>
      </w:r>
      <w:r w:rsidRPr="009E0B6F">
        <w:rPr>
          <w:rFonts w:ascii="Times New Roman" w:eastAsia="Times New Roman" w:hAnsi="Times New Roman" w:cs="Times New Roman"/>
          <w:sz w:val="14"/>
          <w:szCs w:val="14"/>
          <w:lang w:eastAsia="pt-BR"/>
        </w:rPr>
        <w:t xml:space="preserve">         </w:t>
      </w:r>
      <w:r w:rsidRPr="009E0B6F">
        <w:rPr>
          <w:rFonts w:ascii="Arial" w:eastAsia="Times New Roman" w:hAnsi="Arial" w:cs="Arial"/>
          <w:sz w:val="20"/>
          <w:szCs w:val="20"/>
          <w:lang w:eastAsia="pt-BR"/>
        </w:rPr>
        <w:t>Horizonte temporal de 21 dias úteis.</w:t>
      </w:r>
    </w:p>
    <w:p w:rsidR="00B75C56" w:rsidRPr="0059259B" w:rsidRDefault="00B75C56" w:rsidP="0059259B">
      <w:pPr>
        <w:spacing w:before="288" w:after="0" w:line="240" w:lineRule="auto"/>
        <w:jc w:val="both"/>
        <w:rPr>
          <w:rFonts w:ascii="Times New Roman" w:eastAsia="Times New Roman" w:hAnsi="Times New Roman" w:cs="Times New Roman"/>
          <w:sz w:val="24"/>
          <w:szCs w:val="24"/>
          <w:lang w:eastAsia="pt-BR"/>
        </w:rPr>
      </w:pPr>
      <w:r w:rsidRPr="0059259B">
        <w:rPr>
          <w:rFonts w:ascii="Arial" w:eastAsia="Times New Roman" w:hAnsi="Arial" w:cs="Arial"/>
          <w:sz w:val="20"/>
          <w:szCs w:val="20"/>
          <w:lang w:eastAsia="pt-BR"/>
        </w:rPr>
        <w:lastRenderedPageBreak/>
        <w:t>Como parâmetro de monitoramento para controle do risco de mercado dos ativos que compõe a carteira, os membros do Comitê de Investimentos deverão observar as referências abaixo estabelecidas e realizar reavaliação destes ativos sempre que as referências pré-estabelecidas forem ultrapassadas.</w:t>
      </w:r>
    </w:p>
    <w:p w:rsidR="00B75C56" w:rsidRPr="0059259B" w:rsidRDefault="00B75C56" w:rsidP="00B75C56">
      <w:pPr>
        <w:spacing w:before="288" w:after="0" w:line="240" w:lineRule="auto"/>
        <w:ind w:left="1776" w:hanging="360"/>
        <w:rPr>
          <w:rFonts w:ascii="Times New Roman" w:eastAsia="Times New Roman" w:hAnsi="Times New Roman" w:cs="Times New Roman"/>
          <w:sz w:val="24"/>
          <w:szCs w:val="24"/>
          <w:lang w:eastAsia="pt-BR"/>
        </w:rPr>
      </w:pPr>
      <w:r w:rsidRPr="0059259B">
        <w:rPr>
          <w:rFonts w:ascii="Symbol" w:eastAsia="Times New Roman" w:hAnsi="Symbol" w:cs="Times New Roman"/>
          <w:sz w:val="20"/>
          <w:szCs w:val="20"/>
          <w:lang w:eastAsia="pt-BR"/>
        </w:rPr>
        <w:t></w:t>
      </w:r>
      <w:r w:rsidRPr="0059259B">
        <w:rPr>
          <w:rFonts w:ascii="Times New Roman" w:eastAsia="Times New Roman" w:hAnsi="Times New Roman" w:cs="Times New Roman"/>
          <w:sz w:val="14"/>
          <w:szCs w:val="14"/>
          <w:lang w:eastAsia="pt-BR"/>
        </w:rPr>
        <w:t xml:space="preserve">         </w:t>
      </w:r>
      <w:r w:rsidRPr="0059259B">
        <w:rPr>
          <w:rFonts w:ascii="Arial" w:eastAsia="Times New Roman" w:hAnsi="Arial" w:cs="Arial"/>
          <w:sz w:val="20"/>
          <w:szCs w:val="20"/>
          <w:lang w:eastAsia="pt-BR"/>
        </w:rPr>
        <w:t xml:space="preserve">Segmento de Renda Fixa: </w:t>
      </w:r>
      <w:r w:rsidRPr="0059259B">
        <w:rPr>
          <w:rFonts w:ascii="Arial" w:eastAsia="Times New Roman" w:hAnsi="Arial" w:cs="Arial"/>
          <w:b/>
          <w:bCs/>
          <w:sz w:val="20"/>
          <w:szCs w:val="20"/>
          <w:lang w:eastAsia="pt-BR"/>
        </w:rPr>
        <w:t xml:space="preserve">2,65% </w:t>
      </w:r>
      <w:r w:rsidRPr="0059259B">
        <w:rPr>
          <w:rFonts w:ascii="Arial" w:eastAsia="Times New Roman" w:hAnsi="Arial" w:cs="Arial"/>
          <w:sz w:val="20"/>
          <w:szCs w:val="20"/>
          <w:lang w:eastAsia="pt-BR"/>
        </w:rPr>
        <w:t>do valor alocado neste segmento.</w:t>
      </w:r>
    </w:p>
    <w:p w:rsidR="00B75C56" w:rsidRPr="0059259B" w:rsidRDefault="00B75C56" w:rsidP="00B75C56">
      <w:pPr>
        <w:spacing w:before="288" w:after="0" w:line="240" w:lineRule="auto"/>
        <w:ind w:left="1776" w:hanging="360"/>
        <w:rPr>
          <w:rFonts w:ascii="Times New Roman" w:eastAsia="Times New Roman" w:hAnsi="Times New Roman" w:cs="Times New Roman"/>
          <w:sz w:val="24"/>
          <w:szCs w:val="24"/>
          <w:lang w:eastAsia="pt-BR"/>
        </w:rPr>
      </w:pPr>
      <w:r w:rsidRPr="0059259B">
        <w:rPr>
          <w:rFonts w:ascii="Symbol" w:eastAsia="Times New Roman" w:hAnsi="Symbol" w:cs="Times New Roman"/>
          <w:sz w:val="20"/>
          <w:szCs w:val="20"/>
          <w:lang w:eastAsia="pt-BR"/>
        </w:rPr>
        <w:t></w:t>
      </w:r>
      <w:r w:rsidRPr="0059259B">
        <w:rPr>
          <w:rFonts w:ascii="Times New Roman" w:eastAsia="Times New Roman" w:hAnsi="Times New Roman" w:cs="Times New Roman"/>
          <w:sz w:val="14"/>
          <w:szCs w:val="14"/>
          <w:lang w:eastAsia="pt-BR"/>
        </w:rPr>
        <w:t xml:space="preserve">         </w:t>
      </w:r>
      <w:r w:rsidRPr="0059259B">
        <w:rPr>
          <w:rFonts w:ascii="Arial" w:eastAsia="Times New Roman" w:hAnsi="Arial" w:cs="Arial"/>
          <w:sz w:val="20"/>
          <w:szCs w:val="20"/>
          <w:lang w:eastAsia="pt-BR"/>
        </w:rPr>
        <w:t xml:space="preserve">Segmento de Renda Variável: </w:t>
      </w:r>
      <w:r w:rsidRPr="0059259B">
        <w:rPr>
          <w:rFonts w:ascii="Arial" w:eastAsia="Times New Roman" w:hAnsi="Arial" w:cs="Arial"/>
          <w:b/>
          <w:bCs/>
          <w:sz w:val="20"/>
          <w:szCs w:val="20"/>
          <w:lang w:eastAsia="pt-BR"/>
        </w:rPr>
        <w:t xml:space="preserve">14,46% </w:t>
      </w:r>
      <w:r w:rsidRPr="0059259B">
        <w:rPr>
          <w:rFonts w:ascii="Arial" w:eastAsia="Times New Roman" w:hAnsi="Arial" w:cs="Arial"/>
          <w:sz w:val="20"/>
          <w:szCs w:val="20"/>
          <w:lang w:eastAsia="pt-BR"/>
        </w:rPr>
        <w:t>do valor alocado neste segmento.</w:t>
      </w:r>
    </w:p>
    <w:p w:rsidR="00B75C56" w:rsidRPr="0059259B" w:rsidRDefault="00B75C56" w:rsidP="0059259B">
      <w:pPr>
        <w:spacing w:before="288" w:after="100" w:afterAutospacing="1" w:line="240" w:lineRule="auto"/>
        <w:jc w:val="both"/>
        <w:rPr>
          <w:rFonts w:ascii="Times New Roman" w:eastAsia="Times New Roman" w:hAnsi="Times New Roman" w:cs="Times New Roman"/>
          <w:sz w:val="24"/>
          <w:szCs w:val="24"/>
          <w:lang w:eastAsia="pt-BR"/>
        </w:rPr>
      </w:pPr>
      <w:r w:rsidRPr="0059259B">
        <w:rPr>
          <w:rFonts w:ascii="Arial" w:eastAsia="Times New Roman" w:hAnsi="Arial" w:cs="Arial"/>
          <w:sz w:val="20"/>
          <w:szCs w:val="20"/>
          <w:lang w:eastAsia="pt-BR"/>
        </w:rPr>
        <w:t xml:space="preserve">Como instrumento adicional de controle, o </w:t>
      </w:r>
      <w:r w:rsidRPr="0059259B">
        <w:rPr>
          <w:rFonts w:ascii="Arial" w:eastAsia="Times New Roman" w:hAnsi="Arial" w:cs="Arial"/>
          <w:b/>
          <w:bCs/>
          <w:sz w:val="20"/>
          <w:szCs w:val="20"/>
          <w:lang w:eastAsia="pt-BR"/>
        </w:rPr>
        <w:t>FUNDO MUNICIPAL DE APOSENTADORIA E PENSÃO DE FERNÃO</w:t>
      </w:r>
      <w:r w:rsidRPr="0059259B">
        <w:rPr>
          <w:rFonts w:ascii="Arial" w:eastAsia="Times New Roman" w:hAnsi="Arial" w:cs="Arial"/>
          <w:sz w:val="20"/>
          <w:szCs w:val="20"/>
          <w:lang w:eastAsia="pt-BR"/>
        </w:rPr>
        <w:t xml:space="preserve"> deverá monitorar a rentabilidade do fundo em janelas temporais (mês, ano, três meses, seis meses, doze meses e vinte e quatro meses), verificando o alinhamento com o "benchmark" de cada ativo. Desvios significativos deverão ser avaliados pelos membros do Comitê de Investimentos do RPPS, que decidirá pela manutenção, ou não, do investimento.</w:t>
      </w:r>
    </w:p>
    <w:p w:rsidR="00B75C56" w:rsidRPr="0059259B" w:rsidRDefault="00B75C56" w:rsidP="00B75C56">
      <w:pPr>
        <w:spacing w:before="100" w:beforeAutospacing="1" w:after="100" w:afterAutospacing="1" w:line="240" w:lineRule="auto"/>
        <w:outlineLvl w:val="1"/>
        <w:rPr>
          <w:rFonts w:ascii="Arial" w:eastAsia="Times New Roman" w:hAnsi="Arial" w:cs="Arial"/>
          <w:b/>
          <w:bCs/>
          <w:lang w:eastAsia="pt-BR"/>
        </w:rPr>
      </w:pPr>
      <w:bookmarkStart w:id="86" w:name="_Toc20130610"/>
      <w:bookmarkStart w:id="87" w:name="_Toc490036558"/>
      <w:bookmarkStart w:id="88" w:name="_Toc435202752"/>
      <w:bookmarkEnd w:id="86"/>
      <w:bookmarkEnd w:id="87"/>
      <w:r w:rsidRPr="0059259B">
        <w:rPr>
          <w:rFonts w:ascii="Arial" w:eastAsia="Times New Roman" w:hAnsi="Arial" w:cs="Arial"/>
          <w:b/>
          <w:bCs/>
          <w:lang w:eastAsia="pt-BR"/>
        </w:rPr>
        <w:t>8.2       CONTROLE DO RISCO DE CRÉDITO</w:t>
      </w:r>
      <w:bookmarkEnd w:id="88"/>
    </w:p>
    <w:p w:rsidR="00B75C56" w:rsidRPr="0059259B" w:rsidRDefault="00B75C56" w:rsidP="0059259B">
      <w:pPr>
        <w:spacing w:before="288" w:after="100" w:afterAutospacing="1" w:line="240" w:lineRule="auto"/>
        <w:jc w:val="both"/>
        <w:rPr>
          <w:rFonts w:ascii="Times New Roman" w:eastAsia="Times New Roman" w:hAnsi="Times New Roman" w:cs="Times New Roman"/>
          <w:sz w:val="24"/>
          <w:szCs w:val="24"/>
          <w:lang w:eastAsia="pt-BR"/>
        </w:rPr>
      </w:pPr>
      <w:r w:rsidRPr="0059259B">
        <w:rPr>
          <w:rFonts w:ascii="Arial" w:eastAsia="Times New Roman" w:hAnsi="Arial" w:cs="Arial"/>
          <w:sz w:val="20"/>
          <w:szCs w:val="20"/>
          <w:lang w:eastAsia="pt-BR"/>
        </w:rPr>
        <w:t xml:space="preserve">Na hipótese de aplicação de recursos financeiros do RPPS, em fundos de investimento que possuem em sua carteira de investimentos ativos de crédito, </w:t>
      </w:r>
      <w:proofErr w:type="gramStart"/>
      <w:r w:rsidRPr="0059259B">
        <w:rPr>
          <w:rFonts w:ascii="Arial" w:eastAsia="Times New Roman" w:hAnsi="Arial" w:cs="Arial"/>
          <w:sz w:val="20"/>
          <w:szCs w:val="20"/>
          <w:lang w:eastAsia="pt-BR"/>
        </w:rPr>
        <w:t>subordinam-se</w:t>
      </w:r>
      <w:proofErr w:type="gramEnd"/>
      <w:r w:rsidRPr="0059259B">
        <w:rPr>
          <w:rFonts w:ascii="Arial" w:eastAsia="Times New Roman" w:hAnsi="Arial" w:cs="Arial"/>
          <w:sz w:val="20"/>
          <w:szCs w:val="20"/>
          <w:lang w:eastAsia="pt-BR"/>
        </w:rPr>
        <w:t xml:space="preserve"> que estes sejam emitidas por companhias abertas devidamente operacionais e registrada; e que sejam de baixo risco em classificação efetuada por agência classificadora de risco, o que estiverem de acordo com a tabela abaixo:</w:t>
      </w:r>
    </w:p>
    <w:tbl>
      <w:tblPr>
        <w:tblW w:w="0" w:type="auto"/>
        <w:jc w:val="center"/>
        <w:tblCellSpacing w:w="0" w:type="dxa"/>
        <w:tblCellMar>
          <w:top w:w="15" w:type="dxa"/>
          <w:left w:w="15" w:type="dxa"/>
          <w:bottom w:w="15" w:type="dxa"/>
          <w:right w:w="15" w:type="dxa"/>
        </w:tblCellMar>
        <w:tblLook w:val="04A0"/>
      </w:tblPr>
      <w:tblGrid>
        <w:gridCol w:w="4264"/>
        <w:gridCol w:w="4264"/>
      </w:tblGrid>
      <w:tr w:rsidR="00B75C56" w:rsidRPr="00B75C56" w:rsidTr="00B75C56">
        <w:trPr>
          <w:trHeight w:val="413"/>
          <w:tblCellSpacing w:w="0" w:type="dxa"/>
          <w:jc w:val="center"/>
        </w:trPr>
        <w:tc>
          <w:tcPr>
            <w:tcW w:w="4264"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B75C56" w:rsidRPr="0059259B" w:rsidRDefault="00B75C56" w:rsidP="00B75C5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9259B">
              <w:rPr>
                <w:rFonts w:ascii="Arial" w:eastAsia="Times New Roman" w:hAnsi="Arial" w:cs="Arial"/>
                <w:b/>
                <w:bCs/>
                <w:sz w:val="24"/>
                <w:szCs w:val="24"/>
                <w:lang w:eastAsia="pt-BR"/>
              </w:rPr>
              <w:t>AGÊNCIA CLASSIFICADORA DE RISCO</w:t>
            </w:r>
          </w:p>
        </w:tc>
        <w:tc>
          <w:tcPr>
            <w:tcW w:w="4264" w:type="dxa"/>
            <w:tcBorders>
              <w:top w:val="nil"/>
              <w:left w:val="nil"/>
              <w:bottom w:val="single" w:sz="8" w:space="0" w:color="BFBFBF"/>
              <w:right w:val="nil"/>
            </w:tcBorders>
            <w:tcMar>
              <w:top w:w="0" w:type="dxa"/>
              <w:left w:w="108" w:type="dxa"/>
              <w:bottom w:w="0" w:type="dxa"/>
              <w:right w:w="108" w:type="dxa"/>
            </w:tcMar>
            <w:vAlign w:val="center"/>
            <w:hideMark/>
          </w:tcPr>
          <w:p w:rsidR="00B75C56" w:rsidRPr="0059259B" w:rsidRDefault="00B75C56" w:rsidP="00B75C5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9259B">
              <w:rPr>
                <w:rFonts w:ascii="Arial" w:eastAsia="Times New Roman" w:hAnsi="Arial" w:cs="Arial"/>
                <w:b/>
                <w:bCs/>
                <w:sz w:val="24"/>
                <w:szCs w:val="24"/>
                <w:lang w:eastAsia="pt-BR"/>
              </w:rPr>
              <w:t>RATING MÍNIMO</w:t>
            </w:r>
          </w:p>
        </w:tc>
      </w:tr>
      <w:tr w:rsidR="00B75C56" w:rsidRPr="00B75C56" w:rsidTr="00B75C56">
        <w:trPr>
          <w:trHeight w:val="413"/>
          <w:tblCellSpacing w:w="0" w:type="dxa"/>
          <w:jc w:val="center"/>
        </w:trPr>
        <w:tc>
          <w:tcPr>
            <w:tcW w:w="4264" w:type="dxa"/>
            <w:tcBorders>
              <w:top w:val="nil"/>
              <w:left w:val="nil"/>
              <w:bottom w:val="nil"/>
              <w:right w:val="single" w:sz="8" w:space="0" w:color="D9D9D9"/>
            </w:tcBorders>
            <w:shd w:val="clear" w:color="auto" w:fill="F2F2F2"/>
            <w:tcMar>
              <w:top w:w="0" w:type="dxa"/>
              <w:left w:w="108" w:type="dxa"/>
              <w:bottom w:w="0" w:type="dxa"/>
              <w:right w:w="108" w:type="dxa"/>
            </w:tcMar>
            <w:vAlign w:val="center"/>
            <w:hideMark/>
          </w:tcPr>
          <w:p w:rsidR="00B75C56" w:rsidRPr="0059259B" w:rsidRDefault="00B75C56" w:rsidP="00B75C5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9259B">
              <w:rPr>
                <w:rFonts w:ascii="Arial" w:eastAsia="Times New Roman" w:hAnsi="Arial" w:cs="Arial"/>
                <w:sz w:val="24"/>
                <w:szCs w:val="24"/>
                <w:lang w:eastAsia="pt-BR"/>
              </w:rPr>
              <w:t>ATANDARD &amp; POORS</w:t>
            </w:r>
          </w:p>
        </w:tc>
        <w:tc>
          <w:tcPr>
            <w:tcW w:w="4264" w:type="dxa"/>
            <w:shd w:val="clear" w:color="auto" w:fill="F2F2F2"/>
            <w:tcMar>
              <w:top w:w="0" w:type="dxa"/>
              <w:left w:w="108" w:type="dxa"/>
              <w:bottom w:w="0" w:type="dxa"/>
              <w:right w:w="108" w:type="dxa"/>
            </w:tcMar>
            <w:vAlign w:val="center"/>
            <w:hideMark/>
          </w:tcPr>
          <w:p w:rsidR="00B75C56" w:rsidRPr="0059259B" w:rsidRDefault="00B75C56" w:rsidP="00B75C5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9259B">
              <w:rPr>
                <w:rFonts w:ascii="Arial" w:eastAsia="Times New Roman" w:hAnsi="Arial" w:cs="Arial"/>
                <w:sz w:val="24"/>
                <w:szCs w:val="24"/>
                <w:lang w:eastAsia="pt-BR"/>
              </w:rPr>
              <w:t>BBB+ (perspectiva estável)</w:t>
            </w:r>
          </w:p>
        </w:tc>
      </w:tr>
      <w:tr w:rsidR="00B75C56" w:rsidRPr="00B75C56" w:rsidTr="00B75C56">
        <w:trPr>
          <w:trHeight w:val="426"/>
          <w:tblCellSpacing w:w="0" w:type="dxa"/>
          <w:jc w:val="center"/>
        </w:trPr>
        <w:tc>
          <w:tcPr>
            <w:tcW w:w="4264" w:type="dxa"/>
            <w:tcBorders>
              <w:top w:val="nil"/>
              <w:left w:val="nil"/>
              <w:bottom w:val="nil"/>
              <w:right w:val="single" w:sz="8" w:space="0" w:color="BFBFBF"/>
            </w:tcBorders>
            <w:tcMar>
              <w:top w:w="0" w:type="dxa"/>
              <w:left w:w="108" w:type="dxa"/>
              <w:bottom w:w="0" w:type="dxa"/>
              <w:right w:w="108" w:type="dxa"/>
            </w:tcMar>
            <w:vAlign w:val="center"/>
            <w:hideMark/>
          </w:tcPr>
          <w:p w:rsidR="00B75C56" w:rsidRPr="0059259B" w:rsidRDefault="00B75C56" w:rsidP="00B75C56">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spellStart"/>
            <w:r w:rsidRPr="0059259B">
              <w:rPr>
                <w:rFonts w:ascii="Arial" w:eastAsia="Times New Roman" w:hAnsi="Arial" w:cs="Arial"/>
                <w:sz w:val="24"/>
                <w:szCs w:val="24"/>
                <w:lang w:eastAsia="pt-BR"/>
              </w:rPr>
              <w:t>MOODYs</w:t>
            </w:r>
            <w:proofErr w:type="spellEnd"/>
          </w:p>
        </w:tc>
        <w:tc>
          <w:tcPr>
            <w:tcW w:w="4264" w:type="dxa"/>
            <w:tcMar>
              <w:top w:w="0" w:type="dxa"/>
              <w:left w:w="108" w:type="dxa"/>
              <w:bottom w:w="0" w:type="dxa"/>
              <w:right w:w="108" w:type="dxa"/>
            </w:tcMar>
            <w:vAlign w:val="center"/>
            <w:hideMark/>
          </w:tcPr>
          <w:p w:rsidR="00B75C56" w:rsidRPr="0059259B" w:rsidRDefault="00B75C56" w:rsidP="00B75C5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9259B">
              <w:rPr>
                <w:rFonts w:ascii="Arial" w:eastAsia="Times New Roman" w:hAnsi="Arial" w:cs="Arial"/>
                <w:sz w:val="24"/>
                <w:szCs w:val="24"/>
                <w:lang w:eastAsia="pt-BR"/>
              </w:rPr>
              <w:t>Baa1 (perspectiva estável)</w:t>
            </w:r>
          </w:p>
        </w:tc>
      </w:tr>
      <w:tr w:rsidR="00B75C56" w:rsidRPr="00B75C56" w:rsidTr="00B75C56">
        <w:trPr>
          <w:trHeight w:val="413"/>
          <w:tblCellSpacing w:w="0" w:type="dxa"/>
          <w:jc w:val="center"/>
        </w:trPr>
        <w:tc>
          <w:tcPr>
            <w:tcW w:w="4264" w:type="dxa"/>
            <w:tcBorders>
              <w:top w:val="nil"/>
              <w:left w:val="nil"/>
              <w:bottom w:val="nil"/>
              <w:right w:val="single" w:sz="8" w:space="0" w:color="BFBFBF"/>
            </w:tcBorders>
            <w:shd w:val="clear" w:color="auto" w:fill="F2F2F2"/>
            <w:tcMar>
              <w:top w:w="0" w:type="dxa"/>
              <w:left w:w="108" w:type="dxa"/>
              <w:bottom w:w="0" w:type="dxa"/>
              <w:right w:w="108" w:type="dxa"/>
            </w:tcMar>
            <w:vAlign w:val="center"/>
            <w:hideMark/>
          </w:tcPr>
          <w:p w:rsidR="00B75C56" w:rsidRPr="0059259B" w:rsidRDefault="00B75C56" w:rsidP="00B75C5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9259B">
              <w:rPr>
                <w:rFonts w:ascii="Arial" w:eastAsia="Times New Roman" w:hAnsi="Arial" w:cs="Arial"/>
                <w:sz w:val="24"/>
                <w:szCs w:val="24"/>
                <w:lang w:eastAsia="pt-BR"/>
              </w:rPr>
              <w:t>FITCH RATING</w:t>
            </w:r>
          </w:p>
        </w:tc>
        <w:tc>
          <w:tcPr>
            <w:tcW w:w="4264" w:type="dxa"/>
            <w:shd w:val="clear" w:color="auto" w:fill="F2F2F2"/>
            <w:tcMar>
              <w:top w:w="0" w:type="dxa"/>
              <w:left w:w="108" w:type="dxa"/>
              <w:bottom w:w="0" w:type="dxa"/>
              <w:right w:w="108" w:type="dxa"/>
            </w:tcMar>
            <w:vAlign w:val="center"/>
            <w:hideMark/>
          </w:tcPr>
          <w:p w:rsidR="00B75C56" w:rsidRPr="0059259B" w:rsidRDefault="00B75C56" w:rsidP="00B75C5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9259B">
              <w:rPr>
                <w:rFonts w:ascii="Arial" w:eastAsia="Times New Roman" w:hAnsi="Arial" w:cs="Arial"/>
                <w:sz w:val="24"/>
                <w:szCs w:val="24"/>
                <w:lang w:eastAsia="pt-BR"/>
              </w:rPr>
              <w:t>BBB+ (perspectiva estável)</w:t>
            </w:r>
          </w:p>
        </w:tc>
      </w:tr>
      <w:tr w:rsidR="00B75C56" w:rsidRPr="00B75C56" w:rsidTr="00B75C56">
        <w:trPr>
          <w:trHeight w:val="413"/>
          <w:tblCellSpacing w:w="0" w:type="dxa"/>
          <w:jc w:val="center"/>
        </w:trPr>
        <w:tc>
          <w:tcPr>
            <w:tcW w:w="4264" w:type="dxa"/>
            <w:tcBorders>
              <w:top w:val="nil"/>
              <w:left w:val="nil"/>
              <w:bottom w:val="nil"/>
              <w:right w:val="single" w:sz="8" w:space="0" w:color="BFBFBF"/>
            </w:tcBorders>
            <w:tcMar>
              <w:top w:w="0" w:type="dxa"/>
              <w:left w:w="108" w:type="dxa"/>
              <w:bottom w:w="0" w:type="dxa"/>
              <w:right w:w="108" w:type="dxa"/>
            </w:tcMar>
            <w:vAlign w:val="center"/>
            <w:hideMark/>
          </w:tcPr>
          <w:p w:rsidR="00B75C56" w:rsidRPr="0059259B" w:rsidRDefault="00B75C56" w:rsidP="00B75C5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9259B">
              <w:rPr>
                <w:rFonts w:ascii="Arial" w:eastAsia="Times New Roman" w:hAnsi="Arial" w:cs="Arial"/>
                <w:sz w:val="24"/>
                <w:szCs w:val="24"/>
                <w:lang w:eastAsia="pt-BR"/>
              </w:rPr>
              <w:t>AUSTIN RATING</w:t>
            </w:r>
          </w:p>
        </w:tc>
        <w:tc>
          <w:tcPr>
            <w:tcW w:w="4264" w:type="dxa"/>
            <w:tcMar>
              <w:top w:w="0" w:type="dxa"/>
              <w:left w:w="108" w:type="dxa"/>
              <w:bottom w:w="0" w:type="dxa"/>
              <w:right w:w="108" w:type="dxa"/>
            </w:tcMar>
            <w:vAlign w:val="center"/>
            <w:hideMark/>
          </w:tcPr>
          <w:p w:rsidR="00B75C56" w:rsidRPr="0059259B" w:rsidRDefault="00B75C56" w:rsidP="00B75C5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9259B">
              <w:rPr>
                <w:rFonts w:ascii="Arial" w:eastAsia="Times New Roman" w:hAnsi="Arial" w:cs="Arial"/>
                <w:sz w:val="24"/>
                <w:szCs w:val="24"/>
                <w:lang w:eastAsia="pt-BR"/>
              </w:rPr>
              <w:t>A (perspectiva estável)</w:t>
            </w:r>
          </w:p>
        </w:tc>
      </w:tr>
      <w:tr w:rsidR="00B75C56" w:rsidRPr="00B75C56" w:rsidTr="00B75C56">
        <w:trPr>
          <w:trHeight w:val="413"/>
          <w:tblCellSpacing w:w="0" w:type="dxa"/>
          <w:jc w:val="center"/>
        </w:trPr>
        <w:tc>
          <w:tcPr>
            <w:tcW w:w="4264" w:type="dxa"/>
            <w:tcBorders>
              <w:top w:val="nil"/>
              <w:left w:val="nil"/>
              <w:bottom w:val="nil"/>
              <w:right w:val="single" w:sz="8" w:space="0" w:color="BFBFBF"/>
            </w:tcBorders>
            <w:shd w:val="clear" w:color="auto" w:fill="F2F2F2"/>
            <w:tcMar>
              <w:top w:w="0" w:type="dxa"/>
              <w:left w:w="108" w:type="dxa"/>
              <w:bottom w:w="0" w:type="dxa"/>
              <w:right w:w="108" w:type="dxa"/>
            </w:tcMar>
            <w:vAlign w:val="center"/>
            <w:hideMark/>
          </w:tcPr>
          <w:p w:rsidR="00B75C56" w:rsidRPr="0059259B" w:rsidRDefault="00B75C56" w:rsidP="00B75C5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9259B">
              <w:rPr>
                <w:rFonts w:ascii="Arial" w:eastAsia="Times New Roman" w:hAnsi="Arial" w:cs="Arial"/>
                <w:sz w:val="24"/>
                <w:szCs w:val="24"/>
                <w:lang w:eastAsia="pt-BR"/>
              </w:rPr>
              <w:t>SR RATING</w:t>
            </w:r>
          </w:p>
        </w:tc>
        <w:tc>
          <w:tcPr>
            <w:tcW w:w="4264" w:type="dxa"/>
            <w:shd w:val="clear" w:color="auto" w:fill="F2F2F2"/>
            <w:tcMar>
              <w:top w:w="0" w:type="dxa"/>
              <w:left w:w="108" w:type="dxa"/>
              <w:bottom w:w="0" w:type="dxa"/>
              <w:right w:w="108" w:type="dxa"/>
            </w:tcMar>
            <w:vAlign w:val="center"/>
            <w:hideMark/>
          </w:tcPr>
          <w:p w:rsidR="00B75C56" w:rsidRPr="0059259B" w:rsidRDefault="00B75C56" w:rsidP="00B75C5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9259B">
              <w:rPr>
                <w:rFonts w:ascii="Arial" w:eastAsia="Times New Roman" w:hAnsi="Arial" w:cs="Arial"/>
                <w:sz w:val="24"/>
                <w:szCs w:val="24"/>
                <w:lang w:eastAsia="pt-BR"/>
              </w:rPr>
              <w:t>A (perspectiva estável)</w:t>
            </w:r>
          </w:p>
        </w:tc>
      </w:tr>
      <w:tr w:rsidR="00B75C56" w:rsidRPr="00B75C56" w:rsidTr="00B75C56">
        <w:trPr>
          <w:trHeight w:val="413"/>
          <w:tblCellSpacing w:w="0" w:type="dxa"/>
          <w:jc w:val="center"/>
        </w:trPr>
        <w:tc>
          <w:tcPr>
            <w:tcW w:w="4264" w:type="dxa"/>
            <w:tcBorders>
              <w:top w:val="nil"/>
              <w:left w:val="nil"/>
              <w:bottom w:val="nil"/>
              <w:right w:val="single" w:sz="8" w:space="0" w:color="BFBFBF"/>
            </w:tcBorders>
            <w:tcMar>
              <w:top w:w="0" w:type="dxa"/>
              <w:left w:w="108" w:type="dxa"/>
              <w:bottom w:w="0" w:type="dxa"/>
              <w:right w:w="108" w:type="dxa"/>
            </w:tcMar>
            <w:vAlign w:val="center"/>
            <w:hideMark/>
          </w:tcPr>
          <w:p w:rsidR="00B75C56" w:rsidRPr="0059259B" w:rsidRDefault="00B75C56" w:rsidP="00B75C5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9259B">
              <w:rPr>
                <w:rFonts w:ascii="Arial" w:eastAsia="Times New Roman" w:hAnsi="Arial" w:cs="Arial"/>
                <w:sz w:val="24"/>
                <w:szCs w:val="24"/>
                <w:lang w:eastAsia="pt-BR"/>
              </w:rPr>
              <w:t>LF RATING</w:t>
            </w:r>
          </w:p>
        </w:tc>
        <w:tc>
          <w:tcPr>
            <w:tcW w:w="4264" w:type="dxa"/>
            <w:tcMar>
              <w:top w:w="0" w:type="dxa"/>
              <w:left w:w="108" w:type="dxa"/>
              <w:bottom w:w="0" w:type="dxa"/>
              <w:right w:w="108" w:type="dxa"/>
            </w:tcMar>
            <w:vAlign w:val="center"/>
            <w:hideMark/>
          </w:tcPr>
          <w:p w:rsidR="00B75C56" w:rsidRPr="0059259B" w:rsidRDefault="00B75C56" w:rsidP="00B75C5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9259B">
              <w:rPr>
                <w:rFonts w:ascii="Arial" w:eastAsia="Times New Roman" w:hAnsi="Arial" w:cs="Arial"/>
                <w:sz w:val="24"/>
                <w:szCs w:val="24"/>
                <w:lang w:eastAsia="pt-BR"/>
              </w:rPr>
              <w:t>A (perspectiva estável)</w:t>
            </w:r>
          </w:p>
        </w:tc>
      </w:tr>
      <w:tr w:rsidR="00B75C56" w:rsidRPr="00B75C56" w:rsidTr="00B75C56">
        <w:trPr>
          <w:trHeight w:val="413"/>
          <w:tblCellSpacing w:w="0" w:type="dxa"/>
          <w:jc w:val="center"/>
        </w:trPr>
        <w:tc>
          <w:tcPr>
            <w:tcW w:w="4264" w:type="dxa"/>
            <w:tcBorders>
              <w:top w:val="nil"/>
              <w:left w:val="nil"/>
              <w:bottom w:val="nil"/>
              <w:right w:val="single" w:sz="8" w:space="0" w:color="BFBFBF"/>
            </w:tcBorders>
            <w:shd w:val="clear" w:color="auto" w:fill="F2F2F2"/>
            <w:tcMar>
              <w:top w:w="0" w:type="dxa"/>
              <w:left w:w="108" w:type="dxa"/>
              <w:bottom w:w="0" w:type="dxa"/>
              <w:right w:w="108" w:type="dxa"/>
            </w:tcMar>
            <w:vAlign w:val="center"/>
            <w:hideMark/>
          </w:tcPr>
          <w:p w:rsidR="00B75C56" w:rsidRPr="0059259B" w:rsidRDefault="00B75C56" w:rsidP="00B75C5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9259B">
              <w:rPr>
                <w:rFonts w:ascii="Arial" w:eastAsia="Times New Roman" w:hAnsi="Arial" w:cs="Arial"/>
                <w:sz w:val="24"/>
                <w:szCs w:val="24"/>
                <w:lang w:eastAsia="pt-BR"/>
              </w:rPr>
              <w:t>LIBERUM RATING</w:t>
            </w:r>
          </w:p>
        </w:tc>
        <w:tc>
          <w:tcPr>
            <w:tcW w:w="4264" w:type="dxa"/>
            <w:shd w:val="clear" w:color="auto" w:fill="F2F2F2"/>
            <w:tcMar>
              <w:top w:w="0" w:type="dxa"/>
              <w:left w:w="108" w:type="dxa"/>
              <w:bottom w:w="0" w:type="dxa"/>
              <w:right w:w="108" w:type="dxa"/>
            </w:tcMar>
            <w:vAlign w:val="center"/>
            <w:hideMark/>
          </w:tcPr>
          <w:p w:rsidR="00B75C56" w:rsidRPr="0059259B" w:rsidRDefault="00B75C56" w:rsidP="00B75C5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9259B">
              <w:rPr>
                <w:rFonts w:ascii="Arial" w:eastAsia="Times New Roman" w:hAnsi="Arial" w:cs="Arial"/>
                <w:sz w:val="24"/>
                <w:szCs w:val="24"/>
                <w:lang w:eastAsia="pt-BR"/>
              </w:rPr>
              <w:t>A (perspectiva estável)</w:t>
            </w:r>
          </w:p>
        </w:tc>
      </w:tr>
    </w:tbl>
    <w:p w:rsidR="00B75C56" w:rsidRPr="0059259B" w:rsidRDefault="00B75C56" w:rsidP="0059259B">
      <w:pPr>
        <w:spacing w:before="288" w:after="100" w:afterAutospacing="1" w:line="240" w:lineRule="auto"/>
        <w:jc w:val="both"/>
        <w:rPr>
          <w:rFonts w:ascii="Times New Roman" w:eastAsia="Times New Roman" w:hAnsi="Times New Roman" w:cs="Times New Roman"/>
          <w:sz w:val="24"/>
          <w:szCs w:val="24"/>
          <w:lang w:eastAsia="pt-BR"/>
        </w:rPr>
      </w:pPr>
      <w:r w:rsidRPr="0059259B">
        <w:rPr>
          <w:rFonts w:ascii="Times New Roman" w:eastAsia="Times New Roman" w:hAnsi="Times New Roman" w:cs="Times New Roman"/>
          <w:sz w:val="24"/>
          <w:szCs w:val="24"/>
          <w:lang w:eastAsia="pt-BR"/>
        </w:rPr>
        <w:t> </w:t>
      </w:r>
      <w:r w:rsidRPr="0059259B">
        <w:rPr>
          <w:rFonts w:ascii="Arial" w:eastAsia="Times New Roman" w:hAnsi="Arial" w:cs="Arial"/>
          <w:sz w:val="20"/>
          <w:szCs w:val="20"/>
          <w:lang w:eastAsia="pt-BR"/>
        </w:rPr>
        <w:t xml:space="preserve">As agências classificadoras de risco supracitadas estão devidamente registradas na CVM e autorizadas a operar no Brasil e </w:t>
      </w:r>
      <w:proofErr w:type="gramStart"/>
      <w:r w:rsidRPr="0059259B">
        <w:rPr>
          <w:rFonts w:ascii="Arial" w:eastAsia="Times New Roman" w:hAnsi="Arial" w:cs="Arial"/>
          <w:sz w:val="20"/>
          <w:szCs w:val="20"/>
          <w:lang w:eastAsia="pt-BR"/>
        </w:rPr>
        <w:t>utilizam</w:t>
      </w:r>
      <w:proofErr w:type="gramEnd"/>
      <w:r w:rsidRPr="0059259B">
        <w:rPr>
          <w:rFonts w:ascii="Arial" w:eastAsia="Times New Roman" w:hAnsi="Arial" w:cs="Arial"/>
          <w:sz w:val="20"/>
          <w:szCs w:val="20"/>
          <w:lang w:eastAsia="pt-BR"/>
        </w:rPr>
        <w:t xml:space="preserve"> o sistema de "</w:t>
      </w:r>
      <w:proofErr w:type="spellStart"/>
      <w:r w:rsidRPr="0059259B">
        <w:rPr>
          <w:rFonts w:ascii="Arial" w:eastAsia="Times New Roman" w:hAnsi="Arial" w:cs="Arial"/>
          <w:sz w:val="20"/>
          <w:szCs w:val="20"/>
          <w:lang w:eastAsia="pt-BR"/>
        </w:rPr>
        <w:t>rating</w:t>
      </w:r>
      <w:proofErr w:type="spellEnd"/>
      <w:r w:rsidRPr="0059259B">
        <w:rPr>
          <w:rFonts w:ascii="Arial" w:eastAsia="Times New Roman" w:hAnsi="Arial" w:cs="Arial"/>
          <w:sz w:val="20"/>
          <w:szCs w:val="20"/>
          <w:lang w:eastAsia="pt-BR"/>
        </w:rPr>
        <w:t>" para classificar o nível de risco da instituição, fundo de investimentos e dos ativos integrantes de sua carteira.</w:t>
      </w:r>
    </w:p>
    <w:p w:rsidR="00B75C56" w:rsidRPr="0059259B" w:rsidRDefault="00B75C56" w:rsidP="00B75C56">
      <w:pPr>
        <w:spacing w:before="100" w:beforeAutospacing="1" w:after="100" w:afterAutospacing="1" w:line="240" w:lineRule="auto"/>
        <w:outlineLvl w:val="1"/>
        <w:rPr>
          <w:rFonts w:ascii="Arial" w:eastAsia="Times New Roman" w:hAnsi="Arial" w:cs="Arial"/>
          <w:b/>
          <w:bCs/>
          <w:lang w:eastAsia="pt-BR"/>
        </w:rPr>
      </w:pPr>
      <w:bookmarkStart w:id="89" w:name="_Toc20130611"/>
      <w:bookmarkStart w:id="90" w:name="_Toc490036559"/>
      <w:bookmarkStart w:id="91" w:name="_Toc435202753"/>
      <w:bookmarkStart w:id="92" w:name="_Toc435189695"/>
      <w:bookmarkEnd w:id="89"/>
      <w:bookmarkEnd w:id="90"/>
      <w:bookmarkEnd w:id="91"/>
      <w:r w:rsidRPr="0059259B">
        <w:rPr>
          <w:rFonts w:ascii="Arial" w:eastAsia="Times New Roman" w:hAnsi="Arial" w:cs="Arial"/>
          <w:b/>
          <w:bCs/>
          <w:lang w:eastAsia="pt-BR"/>
        </w:rPr>
        <w:t xml:space="preserve">8.3       CONTROLE DO RISCO DE </w:t>
      </w:r>
      <w:bookmarkEnd w:id="92"/>
      <w:r w:rsidRPr="0059259B">
        <w:rPr>
          <w:rFonts w:ascii="Arial" w:eastAsia="Times New Roman" w:hAnsi="Arial" w:cs="Arial"/>
          <w:b/>
          <w:bCs/>
          <w:lang w:eastAsia="pt-BR"/>
        </w:rPr>
        <w:t xml:space="preserve">LIQUIDEZ </w:t>
      </w:r>
    </w:p>
    <w:p w:rsidR="00B75C56" w:rsidRPr="0059259B" w:rsidRDefault="00B75C56" w:rsidP="0059259B">
      <w:pPr>
        <w:spacing w:before="288" w:after="0" w:line="240" w:lineRule="auto"/>
        <w:jc w:val="both"/>
        <w:rPr>
          <w:rFonts w:ascii="Times New Roman" w:eastAsia="Times New Roman" w:hAnsi="Times New Roman" w:cs="Times New Roman"/>
          <w:sz w:val="24"/>
          <w:szCs w:val="24"/>
          <w:lang w:eastAsia="pt-BR"/>
        </w:rPr>
      </w:pPr>
      <w:r w:rsidRPr="0059259B">
        <w:rPr>
          <w:rFonts w:ascii="Arial" w:eastAsia="Times New Roman" w:hAnsi="Arial" w:cs="Arial"/>
          <w:sz w:val="20"/>
          <w:szCs w:val="20"/>
          <w:lang w:eastAsia="pt-BR"/>
        </w:rPr>
        <w:t xml:space="preserve">Nas aplicações em fundos de investimentos constituídos sob a forma de condomínio fechado, e nas aplicações cuja soma do prazo de carência (se houver) acrescido ao prazo de conversão de cotas ultrapassarem em 365 dias, a aprovação do investimento deverá ser precedida de atestado que comprova a análise de evidenciação quanto </w:t>
      </w:r>
      <w:r w:rsidR="0059259B" w:rsidRPr="0059259B">
        <w:rPr>
          <w:rFonts w:ascii="Arial" w:eastAsia="Times New Roman" w:hAnsi="Arial" w:cs="Arial"/>
          <w:sz w:val="20"/>
          <w:szCs w:val="20"/>
          <w:lang w:eastAsia="pt-BR"/>
        </w:rPr>
        <w:t>à</w:t>
      </w:r>
      <w:r w:rsidRPr="0059259B">
        <w:rPr>
          <w:rFonts w:ascii="Arial" w:eastAsia="Times New Roman" w:hAnsi="Arial" w:cs="Arial"/>
          <w:sz w:val="20"/>
          <w:szCs w:val="20"/>
          <w:lang w:eastAsia="pt-BR"/>
        </w:rPr>
        <w:t xml:space="preserve"> capacidade do </w:t>
      </w:r>
      <w:r w:rsidRPr="0059259B">
        <w:rPr>
          <w:rFonts w:ascii="Arial" w:eastAsia="Times New Roman" w:hAnsi="Arial" w:cs="Arial"/>
          <w:b/>
          <w:bCs/>
          <w:sz w:val="20"/>
          <w:szCs w:val="20"/>
          <w:lang w:eastAsia="pt-BR"/>
        </w:rPr>
        <w:t>FUNDO MUNICIPAL DE APOSENTADORIA E PENSÃO DE FERNÃO</w:t>
      </w:r>
      <w:r w:rsidRPr="0059259B">
        <w:rPr>
          <w:rFonts w:ascii="Arial" w:eastAsia="Times New Roman" w:hAnsi="Arial" w:cs="Arial"/>
          <w:sz w:val="20"/>
          <w:szCs w:val="20"/>
          <w:lang w:eastAsia="pt-BR"/>
        </w:rPr>
        <w:t xml:space="preserve"> em arcar com o fluxo de despesas necessárias ao cumprimento de suas obrigações atuariais, até a data da disponibilização dos recursos investidos.</w:t>
      </w:r>
    </w:p>
    <w:p w:rsidR="00B75C56" w:rsidRPr="00B75C56" w:rsidRDefault="00B75C56" w:rsidP="00B75C56">
      <w:pPr>
        <w:spacing w:before="288" w:after="0" w:line="240" w:lineRule="auto"/>
        <w:rPr>
          <w:rFonts w:ascii="Times New Roman" w:eastAsia="Times New Roman" w:hAnsi="Times New Roman" w:cs="Times New Roman"/>
          <w:color w:val="FF0000"/>
          <w:sz w:val="24"/>
          <w:szCs w:val="24"/>
          <w:lang w:eastAsia="pt-BR"/>
        </w:rPr>
      </w:pPr>
      <w:r w:rsidRPr="00B75C56">
        <w:rPr>
          <w:rFonts w:ascii="Arial" w:eastAsia="Times New Roman" w:hAnsi="Arial" w:cs="Arial"/>
          <w:color w:val="FF0000"/>
          <w:sz w:val="20"/>
          <w:szCs w:val="20"/>
          <w:lang w:eastAsia="pt-BR"/>
        </w:rPr>
        <w:t> </w:t>
      </w:r>
    </w:p>
    <w:p w:rsidR="00B75C56" w:rsidRPr="00B75C56" w:rsidRDefault="00B75C56" w:rsidP="00B75C56">
      <w:pPr>
        <w:spacing w:before="288" w:after="0" w:line="240" w:lineRule="auto"/>
        <w:rPr>
          <w:rFonts w:ascii="Times New Roman" w:eastAsia="Times New Roman" w:hAnsi="Times New Roman" w:cs="Times New Roman"/>
          <w:color w:val="FF0000"/>
          <w:sz w:val="24"/>
          <w:szCs w:val="24"/>
          <w:lang w:eastAsia="pt-BR"/>
        </w:rPr>
      </w:pPr>
      <w:r w:rsidRPr="00B75C56">
        <w:rPr>
          <w:rFonts w:ascii="Arial" w:eastAsia="Times New Roman" w:hAnsi="Arial" w:cs="Arial"/>
          <w:color w:val="FF0000"/>
          <w:sz w:val="20"/>
          <w:szCs w:val="20"/>
          <w:lang w:eastAsia="pt-BR"/>
        </w:rPr>
        <w:t> </w:t>
      </w:r>
    </w:p>
    <w:p w:rsidR="00B75C56" w:rsidRPr="00632612" w:rsidRDefault="00B75C56" w:rsidP="00B75C56">
      <w:pPr>
        <w:spacing w:before="100" w:beforeAutospacing="1" w:after="100" w:afterAutospacing="1" w:line="240" w:lineRule="auto"/>
        <w:outlineLvl w:val="0"/>
        <w:rPr>
          <w:rFonts w:ascii="Times New Roman" w:eastAsia="Times New Roman" w:hAnsi="Times New Roman" w:cs="Times New Roman"/>
          <w:b/>
          <w:bCs/>
          <w:kern w:val="36"/>
          <w:sz w:val="48"/>
          <w:szCs w:val="48"/>
          <w:lang w:eastAsia="pt-BR"/>
        </w:rPr>
      </w:pPr>
      <w:bookmarkStart w:id="93" w:name="_Toc20130612"/>
      <w:bookmarkStart w:id="94" w:name="_Toc490036560"/>
      <w:bookmarkStart w:id="95" w:name="_Toc435202754"/>
      <w:bookmarkStart w:id="96" w:name="_Toc435189696"/>
      <w:bookmarkEnd w:id="93"/>
      <w:bookmarkEnd w:id="94"/>
      <w:bookmarkEnd w:id="95"/>
      <w:proofErr w:type="gramStart"/>
      <w:r w:rsidRPr="00632612">
        <w:rPr>
          <w:rFonts w:ascii="Arial" w:eastAsia="Times New Roman" w:hAnsi="Arial" w:cs="Arial"/>
          <w:b/>
          <w:bCs/>
          <w:kern w:val="36"/>
          <w:lang w:eastAsia="pt-BR"/>
        </w:rPr>
        <w:lastRenderedPageBreak/>
        <w:t>9</w:t>
      </w:r>
      <w:proofErr w:type="gramEnd"/>
      <w:r w:rsidRPr="00632612">
        <w:rPr>
          <w:rFonts w:ascii="Times New Roman" w:eastAsia="Times New Roman" w:hAnsi="Times New Roman" w:cs="Times New Roman"/>
          <w:b/>
          <w:bCs/>
          <w:kern w:val="36"/>
          <w:sz w:val="14"/>
          <w:szCs w:val="14"/>
          <w:lang w:eastAsia="pt-BR"/>
        </w:rPr>
        <w:t xml:space="preserve">       </w:t>
      </w:r>
      <w:r w:rsidRPr="00632612">
        <w:rPr>
          <w:rFonts w:ascii="Arial" w:eastAsia="Times New Roman" w:hAnsi="Arial" w:cs="Arial"/>
          <w:b/>
          <w:bCs/>
          <w:kern w:val="36"/>
          <w:lang w:eastAsia="pt-BR"/>
        </w:rPr>
        <w:t>P</w:t>
      </w:r>
      <w:bookmarkEnd w:id="96"/>
      <w:r w:rsidRPr="00632612">
        <w:rPr>
          <w:rFonts w:ascii="Arial" w:eastAsia="Times New Roman" w:hAnsi="Arial" w:cs="Arial"/>
          <w:b/>
          <w:bCs/>
          <w:kern w:val="36"/>
          <w:lang w:eastAsia="pt-BR"/>
        </w:rPr>
        <w:t>OLÍTICA DE TRANSPARÊNCIA</w:t>
      </w:r>
    </w:p>
    <w:p w:rsidR="00B75C56" w:rsidRPr="00632612" w:rsidRDefault="00B75C56" w:rsidP="00632612">
      <w:pPr>
        <w:spacing w:before="288" w:after="0" w:line="240" w:lineRule="auto"/>
        <w:jc w:val="both"/>
        <w:rPr>
          <w:rFonts w:ascii="Times New Roman" w:eastAsia="Times New Roman" w:hAnsi="Times New Roman" w:cs="Times New Roman"/>
          <w:sz w:val="24"/>
          <w:szCs w:val="24"/>
          <w:lang w:eastAsia="pt-BR"/>
        </w:rPr>
      </w:pPr>
      <w:r w:rsidRPr="00632612">
        <w:rPr>
          <w:rFonts w:ascii="Arial" w:eastAsia="Times New Roman" w:hAnsi="Arial" w:cs="Arial"/>
          <w:sz w:val="20"/>
          <w:szCs w:val="20"/>
          <w:lang w:eastAsia="pt-BR"/>
        </w:rPr>
        <w:t xml:space="preserve">As informações contidas na Política de Investimentos e em suas revisões deverão ser disponibilizadas aos interessados, no prazo de 30 (trinta) dias, contados de sua aprovação, observados os critérios estabelecidos pelo Ministério da Economia, Secretária de Previdência Social. </w:t>
      </w:r>
    </w:p>
    <w:p w:rsidR="00B75C56" w:rsidRPr="00632612" w:rsidRDefault="00B75C56" w:rsidP="00632612">
      <w:pPr>
        <w:spacing w:before="288" w:after="0" w:line="240" w:lineRule="auto"/>
        <w:jc w:val="both"/>
        <w:rPr>
          <w:rFonts w:ascii="Times New Roman" w:eastAsia="Times New Roman" w:hAnsi="Times New Roman" w:cs="Times New Roman"/>
          <w:sz w:val="24"/>
          <w:szCs w:val="24"/>
          <w:lang w:eastAsia="pt-BR"/>
        </w:rPr>
      </w:pPr>
      <w:r w:rsidRPr="00632612">
        <w:rPr>
          <w:rFonts w:ascii="Arial" w:eastAsia="Times New Roman" w:hAnsi="Arial" w:cs="Arial"/>
          <w:sz w:val="20"/>
          <w:szCs w:val="20"/>
          <w:lang w:eastAsia="pt-BR"/>
        </w:rPr>
        <w:t xml:space="preserve">À vista da exigência contida no art. 4º, incisos I, II, III, IV e V, parágrafo primeiro e segundo e ainda, art. 5º da Resolução CMN nº 3.922/2010, a Política de Investimentos deverá ser disponibilizada no site do </w:t>
      </w:r>
      <w:r w:rsidRPr="00632612">
        <w:rPr>
          <w:rFonts w:ascii="Arial" w:eastAsia="Times New Roman" w:hAnsi="Arial" w:cs="Arial"/>
          <w:b/>
          <w:bCs/>
          <w:sz w:val="20"/>
          <w:szCs w:val="20"/>
          <w:lang w:eastAsia="pt-BR"/>
        </w:rPr>
        <w:t>FUNDO MUNICIPAL DE APOSENTADORIA E PENSÃO DE FERNÃO</w:t>
      </w:r>
      <w:r w:rsidRPr="00632612">
        <w:rPr>
          <w:rFonts w:ascii="Arial" w:eastAsia="Times New Roman" w:hAnsi="Arial" w:cs="Arial"/>
          <w:sz w:val="20"/>
          <w:szCs w:val="20"/>
          <w:lang w:eastAsia="pt-BR"/>
        </w:rPr>
        <w:t>, Diário Oficial do Município ou em local de fácil acesso e visualização, sem prejuízo de outros canais oficiais de comunicação.</w:t>
      </w:r>
    </w:p>
    <w:p w:rsidR="00B75C56" w:rsidRPr="00632612" w:rsidRDefault="00B75C56" w:rsidP="00632612">
      <w:pPr>
        <w:spacing w:before="288" w:after="0" w:line="240" w:lineRule="auto"/>
        <w:jc w:val="both"/>
        <w:rPr>
          <w:rFonts w:ascii="Times New Roman" w:eastAsia="Times New Roman" w:hAnsi="Times New Roman" w:cs="Times New Roman"/>
          <w:sz w:val="24"/>
          <w:szCs w:val="24"/>
          <w:lang w:eastAsia="pt-BR"/>
        </w:rPr>
      </w:pPr>
      <w:r w:rsidRPr="00632612">
        <w:rPr>
          <w:rFonts w:ascii="Arial" w:eastAsia="Times New Roman" w:hAnsi="Arial" w:cs="Arial"/>
          <w:sz w:val="20"/>
          <w:szCs w:val="20"/>
          <w:lang w:eastAsia="pt-BR"/>
        </w:rPr>
        <w:t>Todos e demais documentos correspondentes a análise, avaliação, gerenciamento, assessoramento e decisão, deverão ser disponibilizados via Portar de Transparência de própria autoria ou na melhor qualidade de disponibilização aos interessados.</w:t>
      </w:r>
    </w:p>
    <w:p w:rsidR="00B75C56" w:rsidRPr="00B75C56" w:rsidRDefault="00B75C56" w:rsidP="00B75C56">
      <w:pPr>
        <w:spacing w:before="288" w:after="0" w:line="240" w:lineRule="auto"/>
        <w:rPr>
          <w:rFonts w:ascii="Times New Roman" w:eastAsia="Times New Roman" w:hAnsi="Times New Roman" w:cs="Times New Roman"/>
          <w:color w:val="FF0000"/>
          <w:sz w:val="24"/>
          <w:szCs w:val="24"/>
          <w:lang w:eastAsia="pt-BR"/>
        </w:rPr>
      </w:pPr>
      <w:r w:rsidRPr="00632612">
        <w:rPr>
          <w:rFonts w:ascii="Arial" w:eastAsia="Times New Roman" w:hAnsi="Arial" w:cs="Arial"/>
          <w:sz w:val="20"/>
          <w:szCs w:val="20"/>
          <w:lang w:eastAsia="pt-BR"/>
        </w:rPr>
        <w:t> </w:t>
      </w:r>
    </w:p>
    <w:p w:rsidR="00B75C56" w:rsidRPr="00632612" w:rsidRDefault="00B75C56" w:rsidP="00B75C56">
      <w:pPr>
        <w:spacing w:before="100" w:beforeAutospacing="1" w:after="100" w:afterAutospacing="1" w:line="240" w:lineRule="auto"/>
        <w:outlineLvl w:val="0"/>
        <w:rPr>
          <w:rFonts w:ascii="Times New Roman" w:eastAsia="Times New Roman" w:hAnsi="Times New Roman" w:cs="Times New Roman"/>
          <w:b/>
          <w:bCs/>
          <w:kern w:val="36"/>
          <w:sz w:val="48"/>
          <w:szCs w:val="48"/>
          <w:lang w:eastAsia="pt-BR"/>
        </w:rPr>
      </w:pPr>
      <w:bookmarkStart w:id="97" w:name="_Toc490036561"/>
      <w:bookmarkStart w:id="98" w:name="_Toc435202755"/>
      <w:bookmarkStart w:id="99" w:name="_Toc435189697"/>
      <w:bookmarkEnd w:id="97"/>
      <w:bookmarkEnd w:id="98"/>
      <w:r w:rsidRPr="00632612">
        <w:rPr>
          <w:rFonts w:ascii="Arial" w:eastAsia="Times New Roman" w:hAnsi="Arial" w:cs="Arial"/>
          <w:b/>
          <w:bCs/>
          <w:kern w:val="36"/>
          <w:lang w:eastAsia="pt-BR"/>
        </w:rPr>
        <w:t>10</w:t>
      </w:r>
      <w:r w:rsidRPr="00632612">
        <w:rPr>
          <w:rFonts w:ascii="Times New Roman" w:eastAsia="Times New Roman" w:hAnsi="Times New Roman" w:cs="Times New Roman"/>
          <w:b/>
          <w:bCs/>
          <w:kern w:val="36"/>
          <w:sz w:val="14"/>
          <w:szCs w:val="14"/>
          <w:lang w:eastAsia="pt-BR"/>
        </w:rPr>
        <w:t>    </w:t>
      </w:r>
      <w:proofErr w:type="gramStart"/>
      <w:r w:rsidRPr="00632612">
        <w:rPr>
          <w:rFonts w:ascii="Times New Roman" w:eastAsia="Times New Roman" w:hAnsi="Times New Roman" w:cs="Times New Roman"/>
          <w:b/>
          <w:bCs/>
          <w:kern w:val="36"/>
          <w:sz w:val="14"/>
          <w:szCs w:val="14"/>
          <w:lang w:eastAsia="pt-BR"/>
        </w:rPr>
        <w:t xml:space="preserve"> </w:t>
      </w:r>
      <w:r w:rsidRPr="00632612">
        <w:rPr>
          <w:rFonts w:ascii="Arial" w:eastAsia="Times New Roman" w:hAnsi="Arial" w:cs="Arial"/>
          <w:b/>
          <w:bCs/>
          <w:kern w:val="36"/>
          <w:sz w:val="20"/>
          <w:szCs w:val="20"/>
          <w:lang w:eastAsia="pt-BR"/>
        </w:rPr>
        <w:t> </w:t>
      </w:r>
      <w:bookmarkStart w:id="100" w:name="_Toc20130613"/>
      <w:bookmarkEnd w:id="99"/>
      <w:proofErr w:type="gramEnd"/>
      <w:r w:rsidRPr="00632612">
        <w:rPr>
          <w:rFonts w:ascii="Times New Roman" w:eastAsia="Times New Roman" w:hAnsi="Times New Roman" w:cs="Times New Roman"/>
          <w:b/>
          <w:bCs/>
          <w:kern w:val="36"/>
          <w:sz w:val="48"/>
          <w:szCs w:val="48"/>
          <w:lang w:eastAsia="pt-BR"/>
        </w:rPr>
        <w:t xml:space="preserve"> </w:t>
      </w:r>
      <w:r w:rsidRPr="00632612">
        <w:rPr>
          <w:rFonts w:ascii="Arial" w:eastAsia="Times New Roman" w:hAnsi="Arial" w:cs="Arial"/>
          <w:b/>
          <w:bCs/>
          <w:kern w:val="36"/>
          <w:lang w:eastAsia="pt-BR"/>
        </w:rPr>
        <w:t>CREDENCIAMENTO</w:t>
      </w:r>
      <w:bookmarkEnd w:id="100"/>
    </w:p>
    <w:p w:rsidR="00B75C56" w:rsidRPr="00632612" w:rsidRDefault="00B75C56" w:rsidP="00632612">
      <w:pPr>
        <w:spacing w:before="288" w:after="0" w:line="240" w:lineRule="auto"/>
        <w:jc w:val="both"/>
        <w:rPr>
          <w:rFonts w:ascii="Times New Roman" w:eastAsia="Times New Roman" w:hAnsi="Times New Roman" w:cs="Times New Roman"/>
          <w:sz w:val="24"/>
          <w:szCs w:val="24"/>
          <w:lang w:eastAsia="pt-BR"/>
        </w:rPr>
      </w:pPr>
      <w:r w:rsidRPr="00632612">
        <w:rPr>
          <w:rFonts w:ascii="Arial" w:eastAsia="Times New Roman" w:hAnsi="Arial" w:cs="Arial"/>
          <w:sz w:val="20"/>
          <w:szCs w:val="20"/>
          <w:lang w:eastAsia="pt-BR"/>
        </w:rPr>
        <w:t xml:space="preserve">Seguindo a Portaria MPS nº 519, de 24 de agosto de 2011 e a Resolução CMN n° 3.922/2010, antes da realização de qualquer operação, o </w:t>
      </w:r>
      <w:r w:rsidRPr="00632612">
        <w:rPr>
          <w:rFonts w:ascii="Arial" w:eastAsia="Times New Roman" w:hAnsi="Arial" w:cs="Arial"/>
          <w:b/>
          <w:bCs/>
          <w:sz w:val="20"/>
          <w:szCs w:val="20"/>
          <w:lang w:eastAsia="pt-BR"/>
        </w:rPr>
        <w:t>FUNDO MUNICIPAL DE APOSENTADORIA E PENSÃO DE FERNÃO</w:t>
      </w:r>
      <w:r w:rsidRPr="00632612">
        <w:rPr>
          <w:rFonts w:ascii="Arial" w:eastAsia="Times New Roman" w:hAnsi="Arial" w:cs="Arial"/>
          <w:sz w:val="20"/>
          <w:szCs w:val="20"/>
          <w:lang w:eastAsia="pt-BR"/>
        </w:rPr>
        <w:t>, na figura de seu Comitê de Investimentos, deverá assegurar que as instituições financeiras escolhidas para receber os recursos tenham sido objeto de prévio credenciamento.</w:t>
      </w:r>
    </w:p>
    <w:p w:rsidR="00B75C56" w:rsidRPr="00632612" w:rsidRDefault="00B75C56" w:rsidP="00632612">
      <w:pPr>
        <w:spacing w:before="288" w:after="0" w:line="240" w:lineRule="auto"/>
        <w:jc w:val="both"/>
        <w:rPr>
          <w:rFonts w:ascii="Times New Roman" w:eastAsia="Times New Roman" w:hAnsi="Times New Roman" w:cs="Times New Roman"/>
          <w:sz w:val="24"/>
          <w:szCs w:val="24"/>
          <w:lang w:eastAsia="pt-BR"/>
        </w:rPr>
      </w:pPr>
      <w:r w:rsidRPr="00632612">
        <w:rPr>
          <w:rFonts w:ascii="Arial" w:eastAsia="Times New Roman" w:hAnsi="Arial" w:cs="Arial"/>
          <w:sz w:val="20"/>
          <w:szCs w:val="20"/>
          <w:lang w:eastAsia="pt-BR"/>
        </w:rPr>
        <w:t xml:space="preserve">O </w:t>
      </w:r>
      <w:r w:rsidRPr="00632612">
        <w:rPr>
          <w:rFonts w:ascii="Arial" w:eastAsia="Times New Roman" w:hAnsi="Arial" w:cs="Arial"/>
          <w:b/>
          <w:bCs/>
          <w:sz w:val="20"/>
          <w:szCs w:val="20"/>
          <w:lang w:eastAsia="pt-BR"/>
        </w:rPr>
        <w:t>FUNDO MUNICIPAL DE APOSENTADORIA E PENSÃO DE FERNÃO</w:t>
      </w:r>
      <w:r w:rsidRPr="00632612">
        <w:rPr>
          <w:rFonts w:ascii="Arial" w:eastAsia="Times New Roman" w:hAnsi="Arial" w:cs="Arial"/>
          <w:sz w:val="20"/>
          <w:szCs w:val="20"/>
          <w:lang w:eastAsia="pt-BR"/>
        </w:rPr>
        <w:t>, através de seu Edital de Credenciamento, deverá cumprir integralmente todos os requisitos mínimos de credenciamento em atendimento as normativas mencionadas e, inclusive:</w:t>
      </w:r>
    </w:p>
    <w:p w:rsidR="00B75C56" w:rsidRPr="00632612" w:rsidRDefault="00B75C56" w:rsidP="00632612">
      <w:pPr>
        <w:spacing w:before="288" w:after="0" w:line="240" w:lineRule="auto"/>
        <w:jc w:val="both"/>
        <w:rPr>
          <w:rFonts w:ascii="Times New Roman" w:eastAsia="Times New Roman" w:hAnsi="Times New Roman" w:cs="Times New Roman"/>
          <w:sz w:val="24"/>
          <w:szCs w:val="24"/>
          <w:lang w:eastAsia="pt-BR"/>
        </w:rPr>
      </w:pPr>
      <w:r w:rsidRPr="00632612">
        <w:rPr>
          <w:rFonts w:ascii="Arial" w:eastAsia="Times New Roman" w:hAnsi="Arial" w:cs="Arial"/>
          <w:sz w:val="20"/>
          <w:szCs w:val="20"/>
          <w:lang w:eastAsia="pt-BR"/>
        </w:rPr>
        <w:t xml:space="preserve">a) Termo de Análise e Atestado de Credenciamento de </w:t>
      </w:r>
      <w:r w:rsidR="00632612" w:rsidRPr="00632612">
        <w:rPr>
          <w:rFonts w:ascii="Arial" w:eastAsia="Times New Roman" w:hAnsi="Arial" w:cs="Arial"/>
          <w:sz w:val="20"/>
          <w:szCs w:val="20"/>
          <w:lang w:eastAsia="pt-BR"/>
        </w:rPr>
        <w:t>Administrador</w:t>
      </w:r>
      <w:r w:rsidRPr="00632612">
        <w:rPr>
          <w:rFonts w:ascii="Arial" w:eastAsia="Times New Roman" w:hAnsi="Arial" w:cs="Arial"/>
          <w:sz w:val="20"/>
          <w:szCs w:val="20"/>
          <w:lang w:eastAsia="pt-BR"/>
        </w:rPr>
        <w:t xml:space="preserve"> e Gestor de FI - Art. 15°, § 2°, I, da Resolução CMN n° 3.922/2010;</w:t>
      </w:r>
    </w:p>
    <w:p w:rsidR="00B75C56" w:rsidRPr="00632612" w:rsidRDefault="00B75C56" w:rsidP="00632612">
      <w:pPr>
        <w:spacing w:before="288" w:after="0" w:line="240" w:lineRule="auto"/>
        <w:jc w:val="both"/>
        <w:rPr>
          <w:rFonts w:ascii="Times New Roman" w:eastAsia="Times New Roman" w:hAnsi="Times New Roman" w:cs="Times New Roman"/>
          <w:sz w:val="24"/>
          <w:szCs w:val="24"/>
          <w:lang w:eastAsia="pt-BR"/>
        </w:rPr>
      </w:pPr>
      <w:r w:rsidRPr="00632612">
        <w:rPr>
          <w:rFonts w:ascii="Arial" w:eastAsia="Times New Roman" w:hAnsi="Arial" w:cs="Arial"/>
          <w:sz w:val="20"/>
          <w:szCs w:val="20"/>
          <w:lang w:eastAsia="pt-BR"/>
        </w:rPr>
        <w:t>b) Termo de Análise de Credenciamento e Atestado de Credenciamento - Demais Administradores ou Gestor de FI;</w:t>
      </w:r>
    </w:p>
    <w:p w:rsidR="00B75C56" w:rsidRPr="00632612" w:rsidRDefault="00B75C56" w:rsidP="00B75C56">
      <w:pPr>
        <w:spacing w:before="288" w:after="0" w:line="240" w:lineRule="auto"/>
        <w:rPr>
          <w:rFonts w:ascii="Times New Roman" w:eastAsia="Times New Roman" w:hAnsi="Times New Roman" w:cs="Times New Roman"/>
          <w:sz w:val="24"/>
          <w:szCs w:val="24"/>
          <w:lang w:eastAsia="pt-BR"/>
        </w:rPr>
      </w:pPr>
      <w:r w:rsidRPr="00632612">
        <w:rPr>
          <w:rFonts w:ascii="Arial" w:eastAsia="Times New Roman" w:hAnsi="Arial" w:cs="Arial"/>
          <w:sz w:val="20"/>
          <w:szCs w:val="20"/>
          <w:lang w:eastAsia="pt-BR"/>
        </w:rPr>
        <w:t>c) Anexo ao Credenciamento - Análise de Fundo de Investimento;</w:t>
      </w:r>
    </w:p>
    <w:p w:rsidR="00B75C56" w:rsidRPr="00632612" w:rsidRDefault="00B75C56" w:rsidP="00B75C56">
      <w:pPr>
        <w:spacing w:before="288" w:after="0" w:line="240" w:lineRule="auto"/>
        <w:rPr>
          <w:rFonts w:ascii="Times New Roman" w:eastAsia="Times New Roman" w:hAnsi="Times New Roman" w:cs="Times New Roman"/>
          <w:sz w:val="24"/>
          <w:szCs w:val="24"/>
          <w:lang w:eastAsia="pt-BR"/>
        </w:rPr>
      </w:pPr>
      <w:r w:rsidRPr="00632612">
        <w:rPr>
          <w:rFonts w:ascii="Arial" w:eastAsia="Times New Roman" w:hAnsi="Arial" w:cs="Arial"/>
          <w:sz w:val="20"/>
          <w:szCs w:val="20"/>
          <w:lang w:eastAsia="pt-BR"/>
        </w:rPr>
        <w:t>d) Termo de Análise do Cadastramento do Distribuidor.</w:t>
      </w:r>
    </w:p>
    <w:p w:rsidR="00B75C56" w:rsidRPr="00632612" w:rsidRDefault="00B75C56" w:rsidP="00632612">
      <w:pPr>
        <w:spacing w:before="288" w:after="100" w:afterAutospacing="1" w:line="240" w:lineRule="auto"/>
        <w:jc w:val="both"/>
        <w:rPr>
          <w:rFonts w:ascii="Times New Roman" w:eastAsia="Times New Roman" w:hAnsi="Times New Roman" w:cs="Times New Roman"/>
          <w:sz w:val="24"/>
          <w:szCs w:val="24"/>
          <w:lang w:eastAsia="pt-BR"/>
        </w:rPr>
      </w:pPr>
      <w:r w:rsidRPr="00632612">
        <w:rPr>
          <w:rFonts w:ascii="Arial" w:eastAsia="Times New Roman" w:hAnsi="Arial" w:cs="Arial"/>
          <w:sz w:val="20"/>
          <w:szCs w:val="20"/>
          <w:lang w:eastAsia="pt-BR"/>
        </w:rPr>
        <w:t>Quando se tratar de fundos de investimento, o credenciamento previsto recairá sobre a figura do gestor e do administrador do fundo.</w:t>
      </w:r>
    </w:p>
    <w:p w:rsidR="00B75C56" w:rsidRPr="00742EE0" w:rsidRDefault="00B75C56" w:rsidP="00B75C56">
      <w:pPr>
        <w:spacing w:before="100" w:beforeAutospacing="1" w:after="100" w:afterAutospacing="1" w:line="240" w:lineRule="auto"/>
        <w:outlineLvl w:val="1"/>
        <w:rPr>
          <w:rFonts w:ascii="Arial" w:eastAsia="Times New Roman" w:hAnsi="Arial" w:cs="Arial"/>
          <w:b/>
          <w:bCs/>
          <w:lang w:eastAsia="pt-BR"/>
        </w:rPr>
      </w:pPr>
      <w:bookmarkStart w:id="101" w:name="_Toc20130614"/>
      <w:bookmarkStart w:id="102" w:name="_Toc490036562"/>
      <w:bookmarkStart w:id="103" w:name="_Toc435202756"/>
      <w:bookmarkEnd w:id="101"/>
      <w:bookmarkEnd w:id="102"/>
      <w:r w:rsidRPr="00742EE0">
        <w:rPr>
          <w:rFonts w:ascii="Arial" w:eastAsia="Times New Roman" w:hAnsi="Arial" w:cs="Arial"/>
          <w:b/>
          <w:bCs/>
          <w:lang w:eastAsia="pt-BR"/>
        </w:rPr>
        <w:t>10.1    PROCESSO DE SELEÇÃO E AVALIAÇÃO DE GESTORES/ADMINISTRADORES</w:t>
      </w:r>
      <w:bookmarkEnd w:id="103"/>
    </w:p>
    <w:p w:rsidR="00B75C56" w:rsidRPr="00742EE0" w:rsidRDefault="00B75C56" w:rsidP="00742EE0">
      <w:pPr>
        <w:spacing w:before="288" w:after="100" w:afterAutospacing="1" w:line="240" w:lineRule="auto"/>
        <w:jc w:val="both"/>
        <w:rPr>
          <w:rFonts w:ascii="Times New Roman" w:eastAsia="Times New Roman" w:hAnsi="Times New Roman" w:cs="Times New Roman"/>
          <w:sz w:val="24"/>
          <w:szCs w:val="24"/>
          <w:lang w:eastAsia="pt-BR"/>
        </w:rPr>
      </w:pPr>
      <w:r w:rsidRPr="00742EE0">
        <w:rPr>
          <w:rFonts w:ascii="Arial" w:eastAsia="Times New Roman" w:hAnsi="Arial" w:cs="Arial"/>
          <w:sz w:val="20"/>
          <w:szCs w:val="20"/>
          <w:lang w:eastAsia="pt-BR"/>
        </w:rPr>
        <w:t xml:space="preserve">Nos processos de seleção dos Gestores/Administradores, devem ser considerados os aspectos qualitativos e quantitativos, tendo como parâmetro de análise no </w:t>
      </w:r>
      <w:r w:rsidRPr="00742EE0">
        <w:rPr>
          <w:rFonts w:ascii="Arial" w:eastAsia="Times New Roman" w:hAnsi="Arial" w:cs="Arial"/>
          <w:b/>
          <w:bCs/>
          <w:sz w:val="20"/>
          <w:szCs w:val="20"/>
          <w:u w:val="single"/>
          <w:lang w:eastAsia="pt-BR"/>
        </w:rPr>
        <w:t>mínimo</w:t>
      </w:r>
      <w:r w:rsidRPr="00742EE0">
        <w:rPr>
          <w:rFonts w:ascii="Arial" w:eastAsia="Times New Roman" w:hAnsi="Arial" w:cs="Arial"/>
          <w:sz w:val="20"/>
          <w:szCs w:val="20"/>
          <w:lang w:eastAsia="pt-BR"/>
        </w:rPr>
        <w:t>:</w:t>
      </w:r>
    </w:p>
    <w:p w:rsidR="00B75C56" w:rsidRPr="00742EE0" w:rsidRDefault="00B75C56" w:rsidP="00742EE0">
      <w:pPr>
        <w:spacing w:before="288" w:after="0" w:line="240" w:lineRule="auto"/>
        <w:jc w:val="both"/>
        <w:rPr>
          <w:rFonts w:ascii="Times New Roman" w:eastAsia="Times New Roman" w:hAnsi="Times New Roman" w:cs="Times New Roman"/>
          <w:sz w:val="24"/>
          <w:szCs w:val="24"/>
          <w:lang w:eastAsia="pt-BR"/>
        </w:rPr>
      </w:pPr>
      <w:proofErr w:type="gramStart"/>
      <w:r w:rsidRPr="00742EE0">
        <w:rPr>
          <w:rFonts w:ascii="Arial" w:eastAsia="Times New Roman" w:hAnsi="Arial" w:cs="Arial"/>
          <w:sz w:val="20"/>
          <w:szCs w:val="20"/>
          <w:lang w:eastAsia="pt-BR"/>
        </w:rPr>
        <w:t>a</w:t>
      </w:r>
      <w:proofErr w:type="gramEnd"/>
      <w:r w:rsidRPr="00742EE0">
        <w:rPr>
          <w:rFonts w:ascii="Arial" w:eastAsia="Times New Roman" w:hAnsi="Arial" w:cs="Arial"/>
          <w:sz w:val="20"/>
          <w:szCs w:val="20"/>
          <w:lang w:eastAsia="pt-BR"/>
        </w:rPr>
        <w:t>)</w:t>
      </w:r>
      <w:r w:rsidRPr="00742EE0">
        <w:rPr>
          <w:rFonts w:ascii="Arial" w:eastAsia="Times New Roman" w:hAnsi="Arial" w:cs="Arial"/>
          <w:b/>
          <w:bCs/>
          <w:sz w:val="20"/>
          <w:szCs w:val="20"/>
          <w:lang w:eastAsia="pt-BR"/>
        </w:rPr>
        <w:t>  Tradição e Credibilidade da Instituição</w:t>
      </w:r>
      <w:r w:rsidRPr="00742EE0">
        <w:rPr>
          <w:rFonts w:ascii="Arial" w:eastAsia="Times New Roman" w:hAnsi="Arial" w:cs="Arial"/>
          <w:sz w:val="20"/>
          <w:szCs w:val="20"/>
          <w:lang w:eastAsia="pt-BR"/>
        </w:rPr>
        <w:t xml:space="preserve"> - envolvendo volume de recursos administrados e geridos, no Brasil e no exterior, capacitação profissional dos agentes envolvidos na administração e gestão de investimentos do fundo, que incluem formação acadêmica continuada, certificações, reconhecimento público etc., tempo de atuação e maturidade desses agentes na atividade, regularidade da manutenção da equipe, com base na rotatividade dos profissionais e na tempestividade na reposição, além de outras informações relacionadas com a administração e gestão</w:t>
      </w:r>
      <w:r w:rsidRPr="00B75C56">
        <w:rPr>
          <w:rFonts w:ascii="Arial" w:eastAsia="Times New Roman" w:hAnsi="Arial" w:cs="Arial"/>
          <w:color w:val="FF0000"/>
          <w:sz w:val="20"/>
          <w:szCs w:val="20"/>
          <w:lang w:eastAsia="pt-BR"/>
        </w:rPr>
        <w:t xml:space="preserve"> </w:t>
      </w:r>
      <w:r w:rsidRPr="00742EE0">
        <w:rPr>
          <w:rFonts w:ascii="Arial" w:eastAsia="Times New Roman" w:hAnsi="Arial" w:cs="Arial"/>
          <w:sz w:val="20"/>
          <w:szCs w:val="20"/>
          <w:lang w:eastAsia="pt-BR"/>
        </w:rPr>
        <w:lastRenderedPageBreak/>
        <w:t>de investimentos que permitam identificar a cultura fiduciária da instituição e seu compromisso com princípios de responsabilidade nos investimentos e de governança;</w:t>
      </w:r>
    </w:p>
    <w:p w:rsidR="00B75C56" w:rsidRPr="00742EE0" w:rsidRDefault="00B75C56" w:rsidP="00742EE0">
      <w:pPr>
        <w:spacing w:before="288" w:after="0" w:line="240" w:lineRule="auto"/>
        <w:jc w:val="both"/>
        <w:rPr>
          <w:rFonts w:ascii="Times New Roman" w:eastAsia="Times New Roman" w:hAnsi="Times New Roman" w:cs="Times New Roman"/>
          <w:sz w:val="24"/>
          <w:szCs w:val="24"/>
          <w:lang w:eastAsia="pt-BR"/>
        </w:rPr>
      </w:pPr>
      <w:proofErr w:type="gramStart"/>
      <w:r w:rsidRPr="00742EE0">
        <w:rPr>
          <w:rFonts w:ascii="Arial" w:eastAsia="Times New Roman" w:hAnsi="Arial" w:cs="Arial"/>
          <w:sz w:val="20"/>
          <w:szCs w:val="20"/>
          <w:lang w:eastAsia="pt-BR"/>
        </w:rPr>
        <w:t>b)</w:t>
      </w:r>
      <w:proofErr w:type="gramEnd"/>
      <w:r w:rsidRPr="00742EE0">
        <w:rPr>
          <w:rFonts w:ascii="Arial" w:eastAsia="Times New Roman" w:hAnsi="Arial" w:cs="Arial"/>
          <w:b/>
          <w:bCs/>
          <w:sz w:val="20"/>
          <w:szCs w:val="20"/>
          <w:lang w:eastAsia="pt-BR"/>
        </w:rPr>
        <w:t>  Gestão do Risco</w:t>
      </w:r>
      <w:r w:rsidRPr="00742EE0">
        <w:rPr>
          <w:rFonts w:ascii="Arial" w:eastAsia="Times New Roman" w:hAnsi="Arial" w:cs="Arial"/>
          <w:sz w:val="20"/>
          <w:szCs w:val="20"/>
          <w:lang w:eastAsia="pt-BR"/>
        </w:rPr>
        <w:t xml:space="preserve"> - envolvendo qualidade e consistência dos processos de administração e gestão, em especial aos riscos de crédito - quando aplicável - liquidez, mercado, legal e operacional, efetividade dos controles internos, envolvendo, ainda, o uso de ferramentas, softwares e consultorias especializadas, regularidade na prestação de informações, atuação da área de "</w:t>
      </w:r>
      <w:proofErr w:type="spellStart"/>
      <w:r w:rsidRPr="00742EE0">
        <w:rPr>
          <w:rFonts w:ascii="Arial" w:eastAsia="Times New Roman" w:hAnsi="Arial" w:cs="Arial"/>
          <w:i/>
          <w:iCs/>
          <w:sz w:val="20"/>
          <w:szCs w:val="20"/>
          <w:lang w:eastAsia="pt-BR"/>
        </w:rPr>
        <w:t>compliance</w:t>
      </w:r>
      <w:proofErr w:type="spellEnd"/>
      <w:r w:rsidRPr="00742EE0">
        <w:rPr>
          <w:rFonts w:ascii="Arial" w:eastAsia="Times New Roman" w:hAnsi="Arial" w:cs="Arial"/>
          <w:sz w:val="20"/>
          <w:szCs w:val="20"/>
          <w:lang w:eastAsia="pt-BR"/>
        </w:rPr>
        <w:t>", capacitação profissional dos agentes envolvidos na administração e gestão de risco do fundo, que incluem formação acadêmica continuada, certificações, reconhecimento público etc., tempo de atuação e maturidade desses agentes na atividade, regularidade da manutenção da equipe de risco, com base na rotatividade dos profissionais e na tempestividade na reposição, além de outras informações relacionadas com a administração e gestão do risco;</w:t>
      </w:r>
    </w:p>
    <w:p w:rsidR="00B75C56" w:rsidRPr="00742EE0" w:rsidRDefault="00B75C56" w:rsidP="00742EE0">
      <w:pPr>
        <w:spacing w:before="288" w:after="0" w:line="240" w:lineRule="auto"/>
        <w:jc w:val="both"/>
        <w:rPr>
          <w:rFonts w:ascii="Times New Roman" w:eastAsia="Times New Roman" w:hAnsi="Times New Roman" w:cs="Times New Roman"/>
          <w:sz w:val="24"/>
          <w:szCs w:val="24"/>
          <w:lang w:eastAsia="pt-BR"/>
        </w:rPr>
      </w:pPr>
      <w:proofErr w:type="gramStart"/>
      <w:r w:rsidRPr="00742EE0">
        <w:rPr>
          <w:rFonts w:ascii="Arial" w:eastAsia="Times New Roman" w:hAnsi="Arial" w:cs="Arial"/>
          <w:sz w:val="20"/>
          <w:szCs w:val="20"/>
          <w:lang w:eastAsia="pt-BR"/>
        </w:rPr>
        <w:t>c)</w:t>
      </w:r>
      <w:proofErr w:type="gramEnd"/>
      <w:r w:rsidRPr="00742EE0">
        <w:rPr>
          <w:rFonts w:ascii="Arial" w:eastAsia="Times New Roman" w:hAnsi="Arial" w:cs="Arial"/>
          <w:b/>
          <w:bCs/>
          <w:sz w:val="20"/>
          <w:szCs w:val="20"/>
          <w:lang w:eastAsia="pt-BR"/>
        </w:rPr>
        <w:t>  Avaliação de aderência dos Fundos aos indicadores de desempenho (Benchmark) e riscos</w:t>
      </w:r>
      <w:r w:rsidRPr="00742EE0">
        <w:rPr>
          <w:rFonts w:ascii="Arial" w:eastAsia="Times New Roman" w:hAnsi="Arial" w:cs="Arial"/>
          <w:sz w:val="20"/>
          <w:szCs w:val="20"/>
          <w:lang w:eastAsia="pt-BR"/>
        </w:rPr>
        <w:t xml:space="preserve"> - envolvendo a correlação da rentabilidade com seus objetivos e a consistência na entrega de resultados no período mínimo de dois anos anteriores ao credenciamento.</w:t>
      </w:r>
    </w:p>
    <w:p w:rsidR="00B75C56" w:rsidRPr="00742EE0" w:rsidRDefault="00B75C56" w:rsidP="00742EE0">
      <w:pPr>
        <w:spacing w:before="288" w:after="0" w:line="240" w:lineRule="auto"/>
        <w:jc w:val="both"/>
        <w:rPr>
          <w:rFonts w:ascii="Times New Roman" w:eastAsia="Times New Roman" w:hAnsi="Times New Roman" w:cs="Times New Roman"/>
          <w:sz w:val="24"/>
          <w:szCs w:val="24"/>
          <w:lang w:eastAsia="pt-BR"/>
        </w:rPr>
      </w:pPr>
      <w:r w:rsidRPr="00742EE0">
        <w:rPr>
          <w:rFonts w:ascii="Arial" w:eastAsia="Times New Roman" w:hAnsi="Arial" w:cs="Arial"/>
          <w:sz w:val="20"/>
          <w:szCs w:val="20"/>
          <w:lang w:eastAsia="pt-BR"/>
        </w:rPr>
        <w:t>Entende-se que os fundos de investimentos possuem uma gestão discricionária, na qual o gestor decide pelos investimentos que vai realizar, desde que respeitando o regulamento do fundo e as normas aplicáveis aos RPPS.</w:t>
      </w:r>
    </w:p>
    <w:p w:rsidR="00B75C56" w:rsidRPr="00742EE0" w:rsidRDefault="00B75C56" w:rsidP="00742EE0">
      <w:pPr>
        <w:spacing w:before="288" w:after="0" w:line="240" w:lineRule="auto"/>
        <w:jc w:val="both"/>
        <w:rPr>
          <w:rFonts w:ascii="Times New Roman" w:eastAsia="Times New Roman" w:hAnsi="Times New Roman" w:cs="Times New Roman"/>
          <w:sz w:val="24"/>
          <w:szCs w:val="24"/>
          <w:lang w:eastAsia="pt-BR"/>
        </w:rPr>
      </w:pPr>
      <w:r w:rsidRPr="00742EE0">
        <w:rPr>
          <w:rFonts w:ascii="Arial" w:eastAsia="Times New Roman" w:hAnsi="Arial" w:cs="Arial"/>
          <w:sz w:val="20"/>
          <w:szCs w:val="20"/>
          <w:lang w:eastAsia="pt-BR"/>
        </w:rPr>
        <w:t xml:space="preserve">O Credenciamento se dará, por meio eletrônico, no âmbito de controle, inclusive no gerenciamento dos documentos e Certidões requisitadas, através do sistema eletrônico utilizado pelo </w:t>
      </w:r>
      <w:r w:rsidRPr="00742EE0">
        <w:rPr>
          <w:rFonts w:ascii="Arial" w:eastAsia="Times New Roman" w:hAnsi="Arial" w:cs="Arial"/>
          <w:b/>
          <w:bCs/>
          <w:sz w:val="20"/>
          <w:szCs w:val="20"/>
          <w:lang w:eastAsia="pt-BR"/>
        </w:rPr>
        <w:t>FUNDO MUNICIPAL DE APOSENTADORIA E PENSÃO DE FERNÃO</w:t>
      </w:r>
      <w:r w:rsidRPr="00742EE0">
        <w:rPr>
          <w:rFonts w:ascii="Arial" w:eastAsia="Times New Roman" w:hAnsi="Arial" w:cs="Arial"/>
          <w:sz w:val="20"/>
          <w:szCs w:val="20"/>
          <w:lang w:eastAsia="pt-BR"/>
        </w:rPr>
        <w:t>.</w:t>
      </w:r>
    </w:p>
    <w:p w:rsidR="00B75C56" w:rsidRPr="00742EE0" w:rsidRDefault="00B75C56" w:rsidP="00742EE0">
      <w:pPr>
        <w:spacing w:before="288" w:after="0" w:line="240" w:lineRule="auto"/>
        <w:jc w:val="both"/>
        <w:rPr>
          <w:rFonts w:ascii="Times New Roman" w:eastAsia="Times New Roman" w:hAnsi="Times New Roman" w:cs="Times New Roman"/>
          <w:sz w:val="24"/>
          <w:szCs w:val="24"/>
          <w:lang w:eastAsia="pt-BR"/>
        </w:rPr>
      </w:pPr>
      <w:r w:rsidRPr="00742EE0">
        <w:rPr>
          <w:rFonts w:ascii="Arial" w:eastAsia="Times New Roman" w:hAnsi="Arial" w:cs="Arial"/>
          <w:sz w:val="20"/>
          <w:szCs w:val="20"/>
          <w:lang w:eastAsia="pt-BR"/>
        </w:rPr>
        <w:t xml:space="preserve">Fica definido também, como critério de documento para credenciamento, o relatório </w:t>
      </w:r>
      <w:proofErr w:type="spellStart"/>
      <w:r w:rsidRPr="00742EE0">
        <w:rPr>
          <w:rFonts w:ascii="Arial" w:eastAsia="Times New Roman" w:hAnsi="Arial" w:cs="Arial"/>
          <w:i/>
          <w:iCs/>
          <w:sz w:val="20"/>
          <w:szCs w:val="20"/>
          <w:lang w:eastAsia="pt-BR"/>
        </w:rPr>
        <w:t>Due</w:t>
      </w:r>
      <w:proofErr w:type="spellEnd"/>
      <w:r w:rsidRPr="00742EE0">
        <w:rPr>
          <w:rFonts w:ascii="Arial" w:eastAsia="Times New Roman" w:hAnsi="Arial" w:cs="Arial"/>
          <w:i/>
          <w:iCs/>
          <w:sz w:val="20"/>
          <w:szCs w:val="20"/>
          <w:lang w:eastAsia="pt-BR"/>
        </w:rPr>
        <w:t xml:space="preserve"> </w:t>
      </w:r>
      <w:proofErr w:type="spellStart"/>
      <w:r w:rsidRPr="00742EE0">
        <w:rPr>
          <w:rFonts w:ascii="Arial" w:eastAsia="Times New Roman" w:hAnsi="Arial" w:cs="Arial"/>
          <w:i/>
          <w:iCs/>
          <w:sz w:val="20"/>
          <w:szCs w:val="20"/>
          <w:lang w:eastAsia="pt-BR"/>
        </w:rPr>
        <w:t>Diligence</w:t>
      </w:r>
      <w:proofErr w:type="spellEnd"/>
      <w:r w:rsidRPr="00742EE0">
        <w:rPr>
          <w:rFonts w:ascii="Arial" w:eastAsia="Times New Roman" w:hAnsi="Arial" w:cs="Arial"/>
          <w:i/>
          <w:iCs/>
          <w:sz w:val="20"/>
          <w:szCs w:val="20"/>
          <w:lang w:eastAsia="pt-BR"/>
        </w:rPr>
        <w:t xml:space="preserve"> </w:t>
      </w:r>
      <w:r w:rsidRPr="00742EE0">
        <w:rPr>
          <w:rFonts w:ascii="Arial" w:eastAsia="Times New Roman" w:hAnsi="Arial" w:cs="Arial"/>
          <w:sz w:val="20"/>
          <w:szCs w:val="20"/>
          <w:lang w:eastAsia="pt-BR"/>
        </w:rPr>
        <w:t>da A</w:t>
      </w:r>
      <w:r w:rsidR="00742EE0" w:rsidRPr="00742EE0">
        <w:rPr>
          <w:rFonts w:ascii="Arial" w:eastAsia="Times New Roman" w:hAnsi="Arial" w:cs="Arial"/>
          <w:sz w:val="20"/>
          <w:szCs w:val="20"/>
          <w:lang w:eastAsia="pt-BR"/>
        </w:rPr>
        <w:t xml:space="preserve">NBIMA, entendidos como seção </w:t>
      </w:r>
      <w:proofErr w:type="gramStart"/>
      <w:r w:rsidR="00742EE0" w:rsidRPr="00742EE0">
        <w:rPr>
          <w:rFonts w:ascii="Arial" w:eastAsia="Times New Roman" w:hAnsi="Arial" w:cs="Arial"/>
          <w:sz w:val="20"/>
          <w:szCs w:val="20"/>
          <w:lang w:eastAsia="pt-BR"/>
        </w:rPr>
        <w:t>um,</w:t>
      </w:r>
      <w:r w:rsidRPr="00742EE0">
        <w:rPr>
          <w:rFonts w:ascii="Arial" w:eastAsia="Times New Roman" w:hAnsi="Arial" w:cs="Arial"/>
          <w:sz w:val="20"/>
          <w:szCs w:val="20"/>
          <w:lang w:eastAsia="pt-BR"/>
        </w:rPr>
        <w:t xml:space="preserve"> dois e três</w:t>
      </w:r>
      <w:proofErr w:type="gramEnd"/>
      <w:r w:rsidRPr="00742EE0">
        <w:rPr>
          <w:rFonts w:ascii="Arial" w:eastAsia="Times New Roman" w:hAnsi="Arial" w:cs="Arial"/>
          <w:sz w:val="20"/>
          <w:szCs w:val="20"/>
          <w:lang w:eastAsia="pt-BR"/>
        </w:rPr>
        <w:t>.</w:t>
      </w:r>
    </w:p>
    <w:p w:rsidR="00B75C56" w:rsidRPr="001A2D20" w:rsidRDefault="00B75C56" w:rsidP="001A2D20">
      <w:pPr>
        <w:spacing w:before="288" w:after="0" w:line="240" w:lineRule="auto"/>
        <w:jc w:val="both"/>
        <w:rPr>
          <w:rFonts w:ascii="Times New Roman" w:eastAsia="Times New Roman" w:hAnsi="Times New Roman" w:cs="Times New Roman"/>
          <w:sz w:val="24"/>
          <w:szCs w:val="24"/>
          <w:lang w:eastAsia="pt-BR"/>
        </w:rPr>
      </w:pPr>
      <w:r w:rsidRPr="001A2D20">
        <w:rPr>
          <w:rFonts w:ascii="Arial" w:eastAsia="Times New Roman" w:hAnsi="Arial" w:cs="Arial"/>
          <w:sz w:val="20"/>
          <w:szCs w:val="20"/>
          <w:lang w:eastAsia="pt-BR"/>
        </w:rPr>
        <w:t xml:space="preserve">Encontra-se qualificado a participar do processo seletivo qualquer empresa administradora ou gestora de recursos financeiros dos fundos de investimentos em que figurarem instituições autorizadas a funcionar pelo Banco </w:t>
      </w:r>
      <w:proofErr w:type="gramStart"/>
      <w:r w:rsidRPr="001A2D20">
        <w:rPr>
          <w:rFonts w:ascii="Arial" w:eastAsia="Times New Roman" w:hAnsi="Arial" w:cs="Arial"/>
          <w:sz w:val="20"/>
          <w:szCs w:val="20"/>
          <w:lang w:eastAsia="pt-BR"/>
        </w:rPr>
        <w:t>Central do Brasil obrigadas a instituir comitê de auditoria e comitê de riscos, nos termos das Resoluções CMN n° 3.198/2004 e n° 4.557/2017, respectivamente</w:t>
      </w:r>
      <w:proofErr w:type="gramEnd"/>
      <w:r w:rsidRPr="001A2D20">
        <w:rPr>
          <w:rFonts w:ascii="Arial" w:eastAsia="Times New Roman" w:hAnsi="Arial" w:cs="Arial"/>
          <w:sz w:val="20"/>
          <w:szCs w:val="20"/>
          <w:lang w:eastAsia="pt-BR"/>
        </w:rPr>
        <w:t xml:space="preserve">. </w:t>
      </w:r>
      <w:bookmarkStart w:id="104" w:name="_Toc490036563"/>
      <w:bookmarkStart w:id="105" w:name="_Toc435202758"/>
      <w:bookmarkStart w:id="106" w:name="_Toc435189700"/>
      <w:bookmarkEnd w:id="104"/>
      <w:bookmarkEnd w:id="105"/>
      <w:bookmarkEnd w:id="106"/>
    </w:p>
    <w:p w:rsidR="00B75C56" w:rsidRPr="001A2D20" w:rsidRDefault="00B75C56" w:rsidP="00B75C56">
      <w:pPr>
        <w:spacing w:before="288" w:after="0" w:line="240" w:lineRule="auto"/>
        <w:rPr>
          <w:rFonts w:ascii="Times New Roman" w:eastAsia="Times New Roman" w:hAnsi="Times New Roman" w:cs="Times New Roman"/>
          <w:sz w:val="24"/>
          <w:szCs w:val="24"/>
          <w:lang w:eastAsia="pt-BR"/>
        </w:rPr>
      </w:pPr>
      <w:r w:rsidRPr="001A2D20">
        <w:rPr>
          <w:rFonts w:ascii="Arial" w:eastAsia="Times New Roman" w:hAnsi="Arial" w:cs="Arial"/>
          <w:sz w:val="20"/>
          <w:szCs w:val="20"/>
          <w:lang w:eastAsia="pt-BR"/>
        </w:rPr>
        <w:t> </w:t>
      </w:r>
    </w:p>
    <w:p w:rsidR="00B75C56" w:rsidRPr="001A2D20" w:rsidRDefault="00B75C56" w:rsidP="001A2D20">
      <w:pPr>
        <w:spacing w:before="288" w:after="0" w:line="240" w:lineRule="auto"/>
        <w:rPr>
          <w:rFonts w:ascii="Times New Roman" w:eastAsia="Times New Roman" w:hAnsi="Times New Roman" w:cs="Times New Roman"/>
          <w:b/>
          <w:bCs/>
          <w:kern w:val="36"/>
          <w:sz w:val="48"/>
          <w:szCs w:val="48"/>
          <w:lang w:eastAsia="pt-BR"/>
        </w:rPr>
      </w:pPr>
      <w:r w:rsidRPr="001A2D20">
        <w:rPr>
          <w:rFonts w:ascii="Arial" w:eastAsia="Times New Roman" w:hAnsi="Arial" w:cs="Arial"/>
          <w:sz w:val="20"/>
          <w:szCs w:val="20"/>
          <w:lang w:eastAsia="pt-BR"/>
        </w:rPr>
        <w:t> </w:t>
      </w:r>
      <w:bookmarkStart w:id="107" w:name="_Toc20130615"/>
      <w:r w:rsidRPr="001A2D20">
        <w:rPr>
          <w:rFonts w:ascii="Arial" w:eastAsia="Times New Roman" w:hAnsi="Arial" w:cs="Arial"/>
          <w:b/>
          <w:bCs/>
          <w:kern w:val="36"/>
          <w:lang w:eastAsia="pt-BR"/>
        </w:rPr>
        <w:t>11</w:t>
      </w:r>
      <w:r w:rsidRPr="001A2D20">
        <w:rPr>
          <w:rFonts w:ascii="Times New Roman" w:eastAsia="Times New Roman" w:hAnsi="Times New Roman" w:cs="Times New Roman"/>
          <w:b/>
          <w:bCs/>
          <w:kern w:val="36"/>
          <w:sz w:val="14"/>
          <w:szCs w:val="14"/>
          <w:lang w:eastAsia="pt-BR"/>
        </w:rPr>
        <w:t xml:space="preserve">     </w:t>
      </w:r>
      <w:r w:rsidRPr="001A2D20">
        <w:rPr>
          <w:rFonts w:ascii="Arial" w:eastAsia="Times New Roman" w:hAnsi="Arial" w:cs="Arial"/>
          <w:b/>
          <w:bCs/>
          <w:kern w:val="36"/>
          <w:lang w:eastAsia="pt-BR"/>
        </w:rPr>
        <w:t>PRECIFICAÇÃO DE ATIVOS</w:t>
      </w:r>
      <w:bookmarkEnd w:id="107"/>
    </w:p>
    <w:p w:rsidR="00B75C56" w:rsidRPr="001A2D20" w:rsidRDefault="00B75C56" w:rsidP="001A2D20">
      <w:pPr>
        <w:spacing w:before="288" w:after="100" w:afterAutospacing="1" w:line="240" w:lineRule="auto"/>
        <w:jc w:val="both"/>
        <w:rPr>
          <w:rFonts w:ascii="Times New Roman" w:eastAsia="Times New Roman" w:hAnsi="Times New Roman" w:cs="Times New Roman"/>
          <w:sz w:val="24"/>
          <w:szCs w:val="24"/>
          <w:lang w:eastAsia="pt-BR"/>
        </w:rPr>
      </w:pPr>
      <w:r w:rsidRPr="001A2D20">
        <w:rPr>
          <w:rFonts w:ascii="Arial" w:eastAsia="Times New Roman" w:hAnsi="Arial" w:cs="Arial"/>
          <w:sz w:val="20"/>
          <w:szCs w:val="20"/>
          <w:lang w:eastAsia="pt-BR"/>
        </w:rPr>
        <w:t xml:space="preserve">Os princípios e critérios de precificação para os ativos e os fundos de investimentos que compõe ou que virão a compor a carteira de investimentos do </w:t>
      </w:r>
      <w:r w:rsidRPr="001A2D20">
        <w:rPr>
          <w:rFonts w:ascii="Arial" w:eastAsia="Times New Roman" w:hAnsi="Arial" w:cs="Arial"/>
          <w:b/>
          <w:bCs/>
          <w:sz w:val="20"/>
          <w:szCs w:val="20"/>
          <w:lang w:eastAsia="pt-BR"/>
        </w:rPr>
        <w:t>FUNDO MUNICIPAL DE APOSENTADORIA E PENSÃO DE FERNÃO</w:t>
      </w:r>
      <w:r w:rsidRPr="001A2D20">
        <w:rPr>
          <w:rFonts w:ascii="Arial" w:eastAsia="Times New Roman" w:hAnsi="Arial" w:cs="Arial"/>
          <w:sz w:val="20"/>
          <w:szCs w:val="20"/>
          <w:lang w:eastAsia="pt-BR"/>
        </w:rPr>
        <w:t>, deverão seguir o critério de precificação de marcação a mercado (</w:t>
      </w:r>
      <w:proofErr w:type="spellStart"/>
      <w:proofErr w:type="gramStart"/>
      <w:r w:rsidRPr="001A2D20">
        <w:rPr>
          <w:rFonts w:ascii="Arial" w:eastAsia="Times New Roman" w:hAnsi="Arial" w:cs="Arial"/>
          <w:sz w:val="20"/>
          <w:szCs w:val="20"/>
          <w:lang w:eastAsia="pt-BR"/>
        </w:rPr>
        <w:t>MaM</w:t>
      </w:r>
      <w:proofErr w:type="spellEnd"/>
      <w:proofErr w:type="gramEnd"/>
      <w:r w:rsidRPr="001A2D20">
        <w:rPr>
          <w:rFonts w:ascii="Arial" w:eastAsia="Times New Roman" w:hAnsi="Arial" w:cs="Arial"/>
          <w:sz w:val="20"/>
          <w:szCs w:val="20"/>
          <w:lang w:eastAsia="pt-BR"/>
        </w:rPr>
        <w:t>).</w:t>
      </w:r>
    </w:p>
    <w:p w:rsidR="00B75C56" w:rsidRPr="001A2D20" w:rsidRDefault="00B75C56" w:rsidP="001A2D20">
      <w:pPr>
        <w:spacing w:before="288" w:after="100" w:afterAutospacing="1" w:line="240" w:lineRule="auto"/>
        <w:jc w:val="both"/>
        <w:rPr>
          <w:rFonts w:ascii="Times New Roman" w:eastAsia="Times New Roman" w:hAnsi="Times New Roman" w:cs="Times New Roman"/>
          <w:sz w:val="24"/>
          <w:szCs w:val="24"/>
          <w:lang w:eastAsia="pt-BR"/>
        </w:rPr>
      </w:pPr>
      <w:r w:rsidRPr="001A2D20">
        <w:rPr>
          <w:rFonts w:ascii="Arial" w:eastAsia="Times New Roman" w:hAnsi="Arial" w:cs="Arial"/>
          <w:sz w:val="20"/>
          <w:szCs w:val="20"/>
          <w:lang w:eastAsia="pt-BR"/>
        </w:rPr>
        <w:t>Poderão ser contabilizados pelos respectivos custos de aquisição acrescidos dos rendimentos auferidos os Títulos Públicos Federais, desde que se cumpram cumulativamente as devidas exigências da Portaria MF n° 577, de 27 de dezembro de 2017 já descritos anteriormente.</w:t>
      </w:r>
    </w:p>
    <w:p w:rsidR="00B75C56" w:rsidRPr="001A2D20" w:rsidRDefault="00B75C56" w:rsidP="00B75C56">
      <w:pPr>
        <w:spacing w:before="100" w:beforeAutospacing="1" w:after="100" w:afterAutospacing="1" w:line="240" w:lineRule="auto"/>
        <w:outlineLvl w:val="1"/>
        <w:rPr>
          <w:rFonts w:ascii="Arial" w:eastAsia="Times New Roman" w:hAnsi="Arial" w:cs="Arial"/>
          <w:b/>
          <w:bCs/>
          <w:lang w:eastAsia="pt-BR"/>
        </w:rPr>
      </w:pPr>
      <w:bookmarkStart w:id="108" w:name="_Toc20130616"/>
      <w:r w:rsidRPr="001A2D20">
        <w:rPr>
          <w:rFonts w:ascii="Arial" w:eastAsia="Times New Roman" w:hAnsi="Arial" w:cs="Arial"/>
          <w:b/>
          <w:bCs/>
          <w:lang w:eastAsia="pt-BR"/>
        </w:rPr>
        <w:t>11.1    METODOLOGIA</w:t>
      </w:r>
      <w:bookmarkEnd w:id="108"/>
    </w:p>
    <w:p w:rsidR="00B75C56" w:rsidRPr="001A2D20" w:rsidRDefault="00B75C56" w:rsidP="00B75C56">
      <w:pPr>
        <w:spacing w:before="240" w:after="100" w:afterAutospacing="1" w:line="240" w:lineRule="auto"/>
        <w:outlineLvl w:val="2"/>
        <w:rPr>
          <w:rFonts w:ascii="Times New Roman" w:eastAsia="Times New Roman" w:hAnsi="Times New Roman" w:cs="Times New Roman"/>
          <w:b/>
          <w:bCs/>
          <w:lang w:eastAsia="pt-BR"/>
        </w:rPr>
      </w:pPr>
      <w:bookmarkStart w:id="109" w:name="_Toc20130617"/>
      <w:r w:rsidRPr="001A2D20">
        <w:rPr>
          <w:rFonts w:ascii="Arial" w:eastAsia="Times New Roman" w:hAnsi="Arial" w:cs="Arial"/>
          <w:b/>
          <w:bCs/>
          <w:lang w:eastAsia="pt-BR"/>
        </w:rPr>
        <w:t>11.1.1</w:t>
      </w:r>
      <w:r w:rsidRPr="001A2D20">
        <w:rPr>
          <w:rFonts w:ascii="Times New Roman" w:eastAsia="Times New Roman" w:hAnsi="Times New Roman" w:cs="Times New Roman"/>
          <w:b/>
          <w:bCs/>
          <w:lang w:eastAsia="pt-BR"/>
        </w:rPr>
        <w:t xml:space="preserve">    </w:t>
      </w:r>
      <w:r w:rsidRPr="001A2D20">
        <w:rPr>
          <w:rFonts w:ascii="Arial" w:eastAsia="Times New Roman" w:hAnsi="Arial" w:cs="Arial"/>
          <w:b/>
          <w:bCs/>
          <w:lang w:eastAsia="pt-BR"/>
        </w:rPr>
        <w:t>MARCAÇÕES</w:t>
      </w:r>
      <w:bookmarkEnd w:id="109"/>
    </w:p>
    <w:p w:rsidR="00B75C56" w:rsidRPr="00522A23" w:rsidRDefault="00B75C56" w:rsidP="001A2D20">
      <w:pPr>
        <w:spacing w:before="288" w:after="100" w:afterAutospacing="1" w:line="240" w:lineRule="auto"/>
        <w:jc w:val="both"/>
        <w:rPr>
          <w:rFonts w:ascii="Times New Roman" w:eastAsia="Times New Roman" w:hAnsi="Times New Roman" w:cs="Times New Roman"/>
          <w:sz w:val="24"/>
          <w:szCs w:val="24"/>
          <w:lang w:eastAsia="pt-BR"/>
        </w:rPr>
      </w:pPr>
      <w:r w:rsidRPr="00522A23">
        <w:rPr>
          <w:rFonts w:ascii="Arial" w:eastAsia="Times New Roman" w:hAnsi="Arial" w:cs="Arial"/>
          <w:sz w:val="20"/>
          <w:szCs w:val="20"/>
          <w:lang w:eastAsia="pt-BR"/>
        </w:rPr>
        <w:t xml:space="preserve">O processo de </w:t>
      </w:r>
      <w:r w:rsidRPr="00522A23">
        <w:rPr>
          <w:rFonts w:ascii="Arial" w:eastAsia="Times New Roman" w:hAnsi="Arial" w:cs="Arial"/>
          <w:b/>
          <w:bCs/>
          <w:sz w:val="20"/>
          <w:szCs w:val="20"/>
          <w:u w:val="single"/>
          <w:lang w:eastAsia="pt-BR"/>
        </w:rPr>
        <w:t>marcação a mercado</w:t>
      </w:r>
      <w:r w:rsidRPr="00522A23">
        <w:rPr>
          <w:rFonts w:ascii="Arial" w:eastAsia="Times New Roman" w:hAnsi="Arial" w:cs="Arial"/>
          <w:sz w:val="20"/>
          <w:szCs w:val="20"/>
          <w:lang w:eastAsia="pt-BR"/>
        </w:rPr>
        <w:t xml:space="preserve"> consiste em atribuir um preço justo a um determinado ativo ou derivativo, seja pelo preço de mercado, caso haja liquidez, ou seja, na ausência desta, pela melhor estimativa que o preço do ativo teria em uma eventual negociação.</w:t>
      </w:r>
    </w:p>
    <w:p w:rsidR="00B75C56" w:rsidRPr="00E026B7" w:rsidRDefault="00B75C56" w:rsidP="00E026B7">
      <w:pPr>
        <w:spacing w:before="240" w:after="100" w:afterAutospacing="1" w:line="240" w:lineRule="auto"/>
        <w:jc w:val="both"/>
        <w:rPr>
          <w:rFonts w:ascii="Times New Roman" w:eastAsia="Times New Roman" w:hAnsi="Times New Roman" w:cs="Times New Roman"/>
          <w:sz w:val="24"/>
          <w:szCs w:val="24"/>
          <w:lang w:eastAsia="pt-BR"/>
        </w:rPr>
      </w:pPr>
      <w:r w:rsidRPr="00E026B7">
        <w:rPr>
          <w:rFonts w:ascii="Arial" w:eastAsia="Times New Roman" w:hAnsi="Arial" w:cs="Arial"/>
          <w:sz w:val="20"/>
          <w:szCs w:val="20"/>
          <w:lang w:eastAsia="pt-BR"/>
        </w:rPr>
        <w:lastRenderedPageBreak/>
        <w:t xml:space="preserve">O processo de </w:t>
      </w:r>
      <w:r w:rsidRPr="00E026B7">
        <w:rPr>
          <w:rFonts w:ascii="Arial" w:eastAsia="Times New Roman" w:hAnsi="Arial" w:cs="Arial"/>
          <w:b/>
          <w:bCs/>
          <w:sz w:val="20"/>
          <w:szCs w:val="20"/>
          <w:u w:val="single"/>
          <w:lang w:eastAsia="pt-BR"/>
        </w:rPr>
        <w:t>marcação na curva</w:t>
      </w:r>
      <w:r w:rsidRPr="00E026B7">
        <w:rPr>
          <w:rFonts w:ascii="Arial" w:eastAsia="Times New Roman" w:hAnsi="Arial" w:cs="Arial"/>
          <w:sz w:val="20"/>
          <w:szCs w:val="20"/>
          <w:lang w:eastAsia="pt-BR"/>
        </w:rPr>
        <w:t xml:space="preserve"> consiste na contabilização do valor de compra de um determinado título, acrescido da variação da taxa de juros, desde que a emissão do papel seja carregada até o seu respectivo vencimento. O valor será atualizado diariamente, sem considerar a oscilações de preço auferidas no mercado.</w:t>
      </w:r>
    </w:p>
    <w:p w:rsidR="00B75C56" w:rsidRPr="00E026B7" w:rsidRDefault="00B75C56" w:rsidP="00B75C56">
      <w:pPr>
        <w:spacing w:before="100" w:beforeAutospacing="1" w:after="100" w:afterAutospacing="1" w:line="240" w:lineRule="auto"/>
        <w:outlineLvl w:val="1"/>
        <w:rPr>
          <w:rFonts w:ascii="Arial" w:eastAsia="Times New Roman" w:hAnsi="Arial" w:cs="Arial"/>
          <w:b/>
          <w:bCs/>
          <w:lang w:eastAsia="pt-BR"/>
        </w:rPr>
      </w:pPr>
      <w:bookmarkStart w:id="110" w:name="_Toc20130618"/>
      <w:r w:rsidRPr="00E026B7">
        <w:rPr>
          <w:rFonts w:ascii="Arial" w:eastAsia="Times New Roman" w:hAnsi="Arial" w:cs="Arial"/>
          <w:b/>
          <w:bCs/>
          <w:lang w:eastAsia="pt-BR"/>
        </w:rPr>
        <w:t>11.2    CRITÉRIOS DE PRECIFICAÇÃO</w:t>
      </w:r>
      <w:bookmarkEnd w:id="110"/>
    </w:p>
    <w:p w:rsidR="00B75C56" w:rsidRPr="00E026B7" w:rsidRDefault="00B75C56" w:rsidP="00E026B7">
      <w:pPr>
        <w:spacing w:before="240" w:after="240" w:line="240" w:lineRule="auto"/>
        <w:ind w:left="1428" w:hanging="1428"/>
        <w:outlineLvl w:val="2"/>
        <w:rPr>
          <w:rFonts w:ascii="Times New Roman" w:eastAsia="Times New Roman" w:hAnsi="Times New Roman" w:cs="Times New Roman"/>
          <w:b/>
          <w:bCs/>
          <w:lang w:eastAsia="pt-BR"/>
        </w:rPr>
      </w:pPr>
      <w:bookmarkStart w:id="111" w:name="_Toc20130619"/>
      <w:r w:rsidRPr="00E026B7">
        <w:rPr>
          <w:rFonts w:ascii="Arial" w:eastAsia="Times New Roman" w:hAnsi="Arial" w:cs="Arial"/>
          <w:b/>
          <w:bCs/>
          <w:lang w:eastAsia="pt-BR"/>
        </w:rPr>
        <w:t>11.2.1</w:t>
      </w:r>
      <w:r w:rsidRPr="00E026B7">
        <w:rPr>
          <w:rFonts w:ascii="Times New Roman" w:eastAsia="Times New Roman" w:hAnsi="Times New Roman" w:cs="Times New Roman"/>
          <w:b/>
          <w:bCs/>
          <w:lang w:eastAsia="pt-BR"/>
        </w:rPr>
        <w:t xml:space="preserve">    </w:t>
      </w:r>
      <w:r w:rsidRPr="00E026B7">
        <w:rPr>
          <w:rFonts w:ascii="Arial" w:eastAsia="Times New Roman" w:hAnsi="Arial" w:cs="Arial"/>
          <w:b/>
          <w:bCs/>
          <w:lang w:eastAsia="pt-BR"/>
        </w:rPr>
        <w:t>TÍTULOS PÚBLICOS FEDERAIS</w:t>
      </w:r>
      <w:bookmarkEnd w:id="111"/>
    </w:p>
    <w:p w:rsidR="00B75C56" w:rsidRPr="00AA7531" w:rsidRDefault="00B75C56" w:rsidP="00AA7531">
      <w:pPr>
        <w:spacing w:before="240" w:after="240" w:line="240" w:lineRule="auto"/>
        <w:jc w:val="both"/>
        <w:rPr>
          <w:rFonts w:ascii="Times New Roman" w:eastAsia="Times New Roman" w:hAnsi="Times New Roman" w:cs="Times New Roman"/>
          <w:sz w:val="24"/>
          <w:szCs w:val="24"/>
          <w:lang w:eastAsia="pt-BR"/>
        </w:rPr>
      </w:pPr>
      <w:r w:rsidRPr="00AA7531">
        <w:rPr>
          <w:rFonts w:ascii="Arial" w:eastAsia="Times New Roman" w:hAnsi="Arial" w:cs="Arial"/>
          <w:sz w:val="20"/>
          <w:szCs w:val="20"/>
          <w:lang w:eastAsia="pt-BR"/>
        </w:rPr>
        <w:t>São ativos de renda fixa emitidos pelo Tesouro Nacional, que representam uma forma de financiar a dívida pública e permitem que os investidores emprestem dinheiro para o governo, recebendo em troca uma determinada rentabilidade. Possuem diversas características como: liquidez diária, baixo custo, baixíssimo risco de crédito, e a solidez de uma instituição enorme por trás.</w:t>
      </w:r>
    </w:p>
    <w:p w:rsidR="00B75C56" w:rsidRPr="00AA7531" w:rsidRDefault="00B75C56" w:rsidP="00AA7531">
      <w:pPr>
        <w:spacing w:before="240" w:after="240" w:line="240" w:lineRule="auto"/>
        <w:jc w:val="both"/>
        <w:rPr>
          <w:rFonts w:ascii="Times New Roman" w:eastAsia="Times New Roman" w:hAnsi="Times New Roman" w:cs="Times New Roman"/>
          <w:sz w:val="24"/>
          <w:szCs w:val="24"/>
          <w:lang w:eastAsia="pt-BR"/>
        </w:rPr>
      </w:pPr>
      <w:r w:rsidRPr="00AA7531">
        <w:rPr>
          <w:rFonts w:ascii="Arial" w:eastAsia="Times New Roman" w:hAnsi="Arial" w:cs="Arial"/>
          <w:sz w:val="20"/>
          <w:szCs w:val="20"/>
          <w:lang w:eastAsia="pt-BR"/>
        </w:rPr>
        <w:t>Como fonte primária de dados, a curva de títulos em reais, gerada a partir da taxa indicativa divulgada pela ANBIMA e a taxa de juros divulgada pelo Banco Central, encontramos o valor do preço unitário do título público.</w:t>
      </w:r>
    </w:p>
    <w:p w:rsidR="00B75C56" w:rsidRPr="00AA7531" w:rsidRDefault="00B75C56" w:rsidP="00B75C56">
      <w:pPr>
        <w:spacing w:before="240" w:after="100" w:afterAutospacing="1" w:line="240" w:lineRule="auto"/>
        <w:outlineLvl w:val="3"/>
        <w:rPr>
          <w:rFonts w:ascii="Times New Roman" w:eastAsia="Times New Roman" w:hAnsi="Times New Roman" w:cs="Times New Roman"/>
          <w:b/>
          <w:bCs/>
          <w:sz w:val="24"/>
          <w:szCs w:val="24"/>
          <w:lang w:eastAsia="pt-BR"/>
        </w:rPr>
      </w:pPr>
      <w:r w:rsidRPr="00AA7531">
        <w:rPr>
          <w:rFonts w:ascii="Arial" w:eastAsia="Times New Roman" w:hAnsi="Arial" w:cs="Arial"/>
          <w:b/>
          <w:bCs/>
          <w:sz w:val="20"/>
          <w:szCs w:val="20"/>
          <w:lang w:eastAsia="pt-BR"/>
        </w:rPr>
        <w:t>11.2.1.1</w:t>
      </w:r>
      <w:r w:rsidRPr="00AA7531">
        <w:rPr>
          <w:rFonts w:ascii="Times New Roman" w:eastAsia="Times New Roman" w:hAnsi="Times New Roman" w:cs="Times New Roman"/>
          <w:b/>
          <w:bCs/>
          <w:sz w:val="14"/>
          <w:szCs w:val="14"/>
          <w:lang w:eastAsia="pt-BR"/>
        </w:rPr>
        <w:t xml:space="preserve">    </w:t>
      </w:r>
      <w:r w:rsidRPr="00AA7531">
        <w:rPr>
          <w:rFonts w:ascii="Arial" w:eastAsia="Times New Roman" w:hAnsi="Arial" w:cs="Arial"/>
          <w:b/>
          <w:bCs/>
          <w:sz w:val="20"/>
          <w:szCs w:val="20"/>
          <w:lang w:eastAsia="pt-BR"/>
        </w:rPr>
        <w:t>Marcação a Mercado</w:t>
      </w:r>
    </w:p>
    <w:p w:rsidR="00B75C56" w:rsidRPr="00AA7531" w:rsidRDefault="00B75C56" w:rsidP="00AA7531">
      <w:pPr>
        <w:spacing w:before="240" w:after="240" w:line="240" w:lineRule="auto"/>
        <w:jc w:val="both"/>
        <w:rPr>
          <w:rFonts w:ascii="Times New Roman" w:eastAsia="Times New Roman" w:hAnsi="Times New Roman" w:cs="Times New Roman"/>
          <w:sz w:val="24"/>
          <w:szCs w:val="24"/>
          <w:lang w:eastAsia="pt-BR"/>
        </w:rPr>
      </w:pPr>
      <w:r w:rsidRPr="00AA7531">
        <w:rPr>
          <w:rFonts w:ascii="Arial" w:eastAsia="Times New Roman" w:hAnsi="Arial" w:cs="Arial"/>
          <w:sz w:val="20"/>
          <w:szCs w:val="20"/>
          <w:lang w:eastAsia="pt-BR"/>
        </w:rPr>
        <w:t xml:space="preserve">Através do preço unitário divulgado no extrato do </w:t>
      </w:r>
      <w:proofErr w:type="spellStart"/>
      <w:r w:rsidRPr="00AA7531">
        <w:rPr>
          <w:rFonts w:ascii="Arial" w:eastAsia="Times New Roman" w:hAnsi="Arial" w:cs="Arial"/>
          <w:sz w:val="20"/>
          <w:szCs w:val="20"/>
          <w:lang w:eastAsia="pt-BR"/>
        </w:rPr>
        <w:t>custodiante</w:t>
      </w:r>
      <w:proofErr w:type="spellEnd"/>
      <w:r w:rsidRPr="00AA7531">
        <w:rPr>
          <w:rFonts w:ascii="Arial" w:eastAsia="Times New Roman" w:hAnsi="Arial" w:cs="Arial"/>
          <w:sz w:val="20"/>
          <w:szCs w:val="20"/>
          <w:lang w:eastAsia="pt-BR"/>
        </w:rPr>
        <w:t>, multiplicado pela quantidade de títulos públicos detidos pelo regime, obtivemos o valor a mercado do título público na carteira de investimentos. Abaixo segue fórmula:</w:t>
      </w:r>
    </w:p>
    <w:p w:rsidR="00B75C56" w:rsidRPr="00AA7531" w:rsidRDefault="00B75C56" w:rsidP="00B75C56">
      <w:pPr>
        <w:spacing w:before="240" w:after="240" w:line="240" w:lineRule="auto"/>
        <w:jc w:val="center"/>
        <w:rPr>
          <w:rFonts w:ascii="Times New Roman" w:eastAsia="Times New Roman" w:hAnsi="Times New Roman" w:cs="Times New Roman"/>
          <w:sz w:val="24"/>
          <w:szCs w:val="24"/>
          <w:lang w:eastAsia="pt-BR"/>
        </w:rPr>
      </w:pPr>
      <w:proofErr w:type="spellStart"/>
      <w:r w:rsidRPr="00AA7531">
        <w:rPr>
          <w:rFonts w:ascii="Cambria Math" w:eastAsia="Times New Roman" w:hAnsi="Cambria Math" w:cs="Times New Roman"/>
          <w:i/>
          <w:iCs/>
          <w:spacing w:val="10"/>
          <w:sz w:val="24"/>
          <w:szCs w:val="24"/>
          <w:lang w:eastAsia="pt-BR"/>
        </w:rPr>
        <w:t>Vm</w:t>
      </w:r>
      <w:proofErr w:type="spellEnd"/>
      <w:r w:rsidRPr="00AA7531">
        <w:rPr>
          <w:rFonts w:ascii="Times New Roman" w:eastAsia="Times New Roman" w:hAnsi="Times New Roman" w:cs="Times New Roman"/>
          <w:sz w:val="24"/>
          <w:szCs w:val="24"/>
          <w:lang w:eastAsia="pt-BR"/>
        </w:rPr>
        <w:t xml:space="preserve"> </w:t>
      </w:r>
      <w:r w:rsidRPr="00AA7531">
        <w:rPr>
          <w:rFonts w:ascii="Cambria Math" w:eastAsia="Times New Roman" w:hAnsi="Cambria Math" w:cs="Times New Roman"/>
          <w:spacing w:val="10"/>
          <w:sz w:val="24"/>
          <w:szCs w:val="24"/>
          <w:lang w:eastAsia="pt-BR"/>
        </w:rPr>
        <w:t xml:space="preserve">= </w:t>
      </w:r>
      <w:r w:rsidRPr="00AA7531">
        <w:rPr>
          <w:rFonts w:ascii="Cambria Math" w:eastAsia="Times New Roman" w:hAnsi="Cambria Math" w:cs="Times New Roman"/>
          <w:i/>
          <w:iCs/>
          <w:spacing w:val="10"/>
          <w:sz w:val="24"/>
          <w:szCs w:val="24"/>
          <w:lang w:eastAsia="pt-BR"/>
        </w:rPr>
        <w:t>PU</w:t>
      </w:r>
      <w:r w:rsidRPr="00AA7531">
        <w:rPr>
          <w:rFonts w:ascii="Times New Roman" w:eastAsia="Times New Roman" w:hAnsi="Times New Roman" w:cs="Times New Roman"/>
          <w:i/>
          <w:iCs/>
          <w:sz w:val="24"/>
          <w:szCs w:val="24"/>
          <w:vertAlign w:val="subscript"/>
          <w:lang w:eastAsia="pt-BR"/>
        </w:rPr>
        <w:t xml:space="preserve"> </w:t>
      </w:r>
      <w:r w:rsidRPr="00AA7531">
        <w:rPr>
          <w:rFonts w:ascii="Cambria Math" w:eastAsia="Times New Roman" w:hAnsi="Cambria Math" w:cs="Times New Roman"/>
          <w:i/>
          <w:iCs/>
          <w:spacing w:val="10"/>
          <w:vertAlign w:val="subscript"/>
          <w:lang w:eastAsia="pt-BR"/>
        </w:rPr>
        <w:t>Atual</w:t>
      </w:r>
      <w:proofErr w:type="gramStart"/>
      <w:r w:rsidRPr="00AA7531">
        <w:rPr>
          <w:rFonts w:ascii="Times New Roman" w:eastAsia="Times New Roman" w:hAnsi="Times New Roman" w:cs="Times New Roman"/>
          <w:sz w:val="24"/>
          <w:szCs w:val="24"/>
          <w:lang w:eastAsia="pt-BR"/>
        </w:rPr>
        <w:t xml:space="preserve"> </w:t>
      </w:r>
      <w:r w:rsidRPr="00AA7531">
        <w:rPr>
          <w:rFonts w:ascii="Cambria Math" w:eastAsia="Times New Roman" w:hAnsi="Cambria Math" w:cs="Times New Roman"/>
          <w:spacing w:val="10"/>
          <w:sz w:val="24"/>
          <w:szCs w:val="24"/>
          <w:lang w:eastAsia="pt-BR"/>
        </w:rPr>
        <w:t> </w:t>
      </w:r>
      <w:proofErr w:type="gramEnd"/>
      <w:r w:rsidRPr="00AA7531">
        <w:rPr>
          <w:rFonts w:ascii="Cambria Math" w:eastAsia="Times New Roman" w:hAnsi="Cambria Math" w:cs="Times New Roman"/>
          <w:spacing w:val="10"/>
          <w:sz w:val="24"/>
          <w:szCs w:val="24"/>
          <w:lang w:eastAsia="pt-BR"/>
        </w:rPr>
        <w:t xml:space="preserve">* </w:t>
      </w:r>
      <w:proofErr w:type="spellStart"/>
      <w:r w:rsidRPr="00AA7531">
        <w:rPr>
          <w:rFonts w:ascii="Cambria Math" w:eastAsia="Times New Roman" w:hAnsi="Cambria Math" w:cs="Times New Roman"/>
          <w:i/>
          <w:iCs/>
          <w:spacing w:val="10"/>
          <w:sz w:val="24"/>
          <w:szCs w:val="24"/>
          <w:lang w:eastAsia="pt-BR"/>
        </w:rPr>
        <w:t>QT</w:t>
      </w:r>
      <w:r w:rsidRPr="00AA7531">
        <w:rPr>
          <w:rFonts w:ascii="Cambria Math" w:eastAsia="Times New Roman" w:hAnsi="Cambria Math" w:cs="Times New Roman"/>
          <w:i/>
          <w:iCs/>
          <w:spacing w:val="10"/>
          <w:sz w:val="24"/>
          <w:szCs w:val="24"/>
          <w:vertAlign w:val="subscript"/>
          <w:lang w:eastAsia="pt-BR"/>
        </w:rPr>
        <w:t>título</w:t>
      </w:r>
      <w:proofErr w:type="spellEnd"/>
    </w:p>
    <w:p w:rsidR="00B75C56" w:rsidRPr="00AA7531" w:rsidRDefault="00B75C56" w:rsidP="00B75C56">
      <w:pPr>
        <w:spacing w:before="240" w:after="240" w:line="240" w:lineRule="auto"/>
        <w:rPr>
          <w:rFonts w:ascii="Times New Roman" w:eastAsia="Times New Roman" w:hAnsi="Times New Roman" w:cs="Times New Roman"/>
          <w:sz w:val="24"/>
          <w:szCs w:val="24"/>
          <w:lang w:eastAsia="pt-BR"/>
        </w:rPr>
      </w:pPr>
      <w:r w:rsidRPr="00AA7531">
        <w:rPr>
          <w:rFonts w:ascii="Arial" w:eastAsia="Times New Roman" w:hAnsi="Arial" w:cs="Arial"/>
          <w:sz w:val="20"/>
          <w:szCs w:val="20"/>
          <w:lang w:eastAsia="pt-BR"/>
        </w:rPr>
        <w:t>Onde:</w:t>
      </w:r>
    </w:p>
    <w:p w:rsidR="00B75C56" w:rsidRPr="00AA7531" w:rsidRDefault="00B75C56" w:rsidP="00B75C56">
      <w:pPr>
        <w:spacing w:before="240" w:after="0" w:line="240" w:lineRule="auto"/>
        <w:ind w:left="1134"/>
        <w:rPr>
          <w:rFonts w:ascii="Times New Roman" w:eastAsia="Times New Roman" w:hAnsi="Times New Roman" w:cs="Times New Roman"/>
          <w:sz w:val="24"/>
          <w:szCs w:val="24"/>
          <w:lang w:eastAsia="pt-BR"/>
        </w:rPr>
      </w:pPr>
      <w:proofErr w:type="spellStart"/>
      <w:r w:rsidRPr="00AA7531">
        <w:rPr>
          <w:rFonts w:ascii="Cambria Math" w:eastAsia="Times New Roman" w:hAnsi="Cambria Math" w:cs="Times New Roman"/>
          <w:i/>
          <w:iCs/>
          <w:spacing w:val="20"/>
          <w:sz w:val="24"/>
          <w:szCs w:val="24"/>
          <w:lang w:eastAsia="pt-BR"/>
        </w:rPr>
        <w:t>Vm</w:t>
      </w:r>
      <w:proofErr w:type="spellEnd"/>
      <w:r w:rsidRPr="00AA7531">
        <w:rPr>
          <w:rFonts w:ascii="Times New Roman" w:eastAsia="Times New Roman" w:hAnsi="Times New Roman" w:cs="Times New Roman"/>
          <w:sz w:val="24"/>
          <w:szCs w:val="24"/>
          <w:lang w:eastAsia="pt-BR"/>
        </w:rPr>
        <w:t xml:space="preserve"> </w:t>
      </w:r>
      <w:r w:rsidRPr="00AA7531">
        <w:rPr>
          <w:rFonts w:ascii="Arial" w:eastAsia="Times New Roman" w:hAnsi="Arial" w:cs="Arial"/>
          <w:sz w:val="20"/>
          <w:szCs w:val="20"/>
          <w:lang w:eastAsia="pt-BR"/>
        </w:rPr>
        <w:t>= valor de mercado</w:t>
      </w:r>
    </w:p>
    <w:p w:rsidR="00B75C56" w:rsidRPr="00AA7531" w:rsidRDefault="00B75C56" w:rsidP="00B75C56">
      <w:pPr>
        <w:spacing w:before="240" w:after="0" w:line="240" w:lineRule="auto"/>
        <w:ind w:left="1134"/>
        <w:rPr>
          <w:rFonts w:ascii="Times New Roman" w:eastAsia="Times New Roman" w:hAnsi="Times New Roman" w:cs="Times New Roman"/>
          <w:sz w:val="24"/>
          <w:szCs w:val="24"/>
          <w:lang w:eastAsia="pt-BR"/>
        </w:rPr>
      </w:pPr>
      <w:proofErr w:type="spellStart"/>
      <w:proofErr w:type="gramStart"/>
      <w:r w:rsidRPr="00AA7531">
        <w:rPr>
          <w:rFonts w:ascii="Cambria Math" w:eastAsia="Times New Roman" w:hAnsi="Cambria Math" w:cs="Times New Roman"/>
          <w:i/>
          <w:iCs/>
          <w:spacing w:val="20"/>
          <w:sz w:val="24"/>
          <w:szCs w:val="24"/>
          <w:lang w:eastAsia="pt-BR"/>
        </w:rPr>
        <w:t>PU</w:t>
      </w:r>
      <w:r w:rsidRPr="00AA7531">
        <w:rPr>
          <w:rFonts w:ascii="Cambria Math" w:eastAsia="Times New Roman" w:hAnsi="Cambria Math" w:cs="Times New Roman"/>
          <w:i/>
          <w:iCs/>
          <w:spacing w:val="20"/>
          <w:sz w:val="24"/>
          <w:szCs w:val="24"/>
          <w:vertAlign w:val="subscript"/>
          <w:lang w:eastAsia="pt-BR"/>
        </w:rPr>
        <w:t>atual</w:t>
      </w:r>
      <w:proofErr w:type="spellEnd"/>
      <w:proofErr w:type="gramEnd"/>
      <w:r w:rsidRPr="00AA7531">
        <w:rPr>
          <w:rFonts w:ascii="Times New Roman" w:eastAsia="Times New Roman" w:hAnsi="Times New Roman" w:cs="Times New Roman"/>
          <w:sz w:val="24"/>
          <w:szCs w:val="24"/>
          <w:vertAlign w:val="subscript"/>
          <w:lang w:eastAsia="pt-BR"/>
        </w:rPr>
        <w:t xml:space="preserve"> </w:t>
      </w:r>
      <w:r w:rsidRPr="00AA7531">
        <w:rPr>
          <w:rFonts w:ascii="Arial" w:eastAsia="Times New Roman" w:hAnsi="Arial" w:cs="Arial"/>
          <w:sz w:val="20"/>
          <w:szCs w:val="20"/>
          <w:lang w:eastAsia="pt-BR"/>
        </w:rPr>
        <w:t>= preço unitário atual</w:t>
      </w:r>
    </w:p>
    <w:p w:rsidR="00B75C56" w:rsidRPr="00AA7531" w:rsidRDefault="00B75C56" w:rsidP="00B75C56">
      <w:pPr>
        <w:spacing w:before="240" w:after="0" w:line="240" w:lineRule="auto"/>
        <w:ind w:left="1134"/>
        <w:rPr>
          <w:rFonts w:ascii="Times New Roman" w:eastAsia="Times New Roman" w:hAnsi="Times New Roman" w:cs="Times New Roman"/>
          <w:sz w:val="24"/>
          <w:szCs w:val="24"/>
          <w:lang w:eastAsia="pt-BR"/>
        </w:rPr>
      </w:pPr>
      <w:proofErr w:type="spellStart"/>
      <w:r w:rsidRPr="00AA7531">
        <w:rPr>
          <w:rFonts w:ascii="Cambria Math" w:eastAsia="Times New Roman" w:hAnsi="Cambria Math" w:cs="Times New Roman"/>
          <w:i/>
          <w:iCs/>
          <w:spacing w:val="20"/>
          <w:sz w:val="24"/>
          <w:szCs w:val="24"/>
          <w:lang w:eastAsia="pt-BR"/>
        </w:rPr>
        <w:t>Qt</w:t>
      </w:r>
      <w:r w:rsidRPr="00AA7531">
        <w:rPr>
          <w:rFonts w:ascii="Cambria Math" w:eastAsia="Times New Roman" w:hAnsi="Cambria Math" w:cs="Times New Roman"/>
          <w:i/>
          <w:iCs/>
          <w:spacing w:val="20"/>
          <w:sz w:val="24"/>
          <w:szCs w:val="24"/>
          <w:vertAlign w:val="subscript"/>
          <w:lang w:eastAsia="pt-BR"/>
        </w:rPr>
        <w:t>títulos</w:t>
      </w:r>
      <w:proofErr w:type="spellEnd"/>
      <w:r w:rsidRPr="00AA7531">
        <w:rPr>
          <w:rFonts w:ascii="Times New Roman" w:eastAsia="Times New Roman" w:hAnsi="Times New Roman" w:cs="Times New Roman"/>
          <w:sz w:val="24"/>
          <w:szCs w:val="24"/>
          <w:lang w:eastAsia="pt-BR"/>
        </w:rPr>
        <w:t xml:space="preserve"> </w:t>
      </w:r>
      <w:r w:rsidRPr="00AA7531">
        <w:rPr>
          <w:rFonts w:ascii="Arial" w:eastAsia="Times New Roman" w:hAnsi="Arial" w:cs="Arial"/>
          <w:sz w:val="20"/>
          <w:szCs w:val="20"/>
          <w:lang w:eastAsia="pt-BR"/>
        </w:rPr>
        <w:t>= quantidade de títulos em posso do regime</w:t>
      </w:r>
    </w:p>
    <w:p w:rsidR="00B75C56" w:rsidRPr="00AA7531" w:rsidRDefault="00B75C56" w:rsidP="00B75C56">
      <w:pPr>
        <w:spacing w:before="200" w:after="100" w:afterAutospacing="1" w:line="240" w:lineRule="auto"/>
        <w:rPr>
          <w:rFonts w:ascii="Times New Roman" w:eastAsia="Times New Roman" w:hAnsi="Times New Roman" w:cs="Times New Roman"/>
          <w:sz w:val="24"/>
          <w:szCs w:val="24"/>
          <w:lang w:eastAsia="pt-BR"/>
        </w:rPr>
      </w:pPr>
      <w:r w:rsidRPr="00AA7531">
        <w:rPr>
          <w:rFonts w:ascii="Times New Roman" w:eastAsia="Times New Roman" w:hAnsi="Times New Roman" w:cs="Times New Roman"/>
          <w:sz w:val="24"/>
          <w:szCs w:val="24"/>
          <w:lang w:eastAsia="pt-BR"/>
        </w:rPr>
        <w:t> </w:t>
      </w:r>
    </w:p>
    <w:p w:rsidR="00B75C56" w:rsidRPr="00AA7531" w:rsidRDefault="00B75C56" w:rsidP="00B75C56">
      <w:pPr>
        <w:spacing w:before="240" w:after="100" w:afterAutospacing="1" w:line="240" w:lineRule="auto"/>
        <w:outlineLvl w:val="3"/>
        <w:rPr>
          <w:rFonts w:ascii="Times New Roman" w:eastAsia="Times New Roman" w:hAnsi="Times New Roman" w:cs="Times New Roman"/>
          <w:b/>
          <w:bCs/>
          <w:sz w:val="24"/>
          <w:szCs w:val="24"/>
          <w:lang w:eastAsia="pt-BR"/>
        </w:rPr>
      </w:pPr>
      <w:r w:rsidRPr="00AA7531">
        <w:rPr>
          <w:rFonts w:ascii="Arial" w:eastAsia="Times New Roman" w:hAnsi="Arial" w:cs="Arial"/>
          <w:b/>
          <w:bCs/>
          <w:sz w:val="20"/>
          <w:szCs w:val="20"/>
          <w:lang w:eastAsia="pt-BR"/>
        </w:rPr>
        <w:t>11.2.1.2</w:t>
      </w:r>
      <w:r w:rsidRPr="00AA7531">
        <w:rPr>
          <w:rFonts w:ascii="Times New Roman" w:eastAsia="Times New Roman" w:hAnsi="Times New Roman" w:cs="Times New Roman"/>
          <w:b/>
          <w:bCs/>
          <w:sz w:val="14"/>
          <w:szCs w:val="14"/>
          <w:lang w:eastAsia="pt-BR"/>
        </w:rPr>
        <w:t xml:space="preserve">    </w:t>
      </w:r>
      <w:r w:rsidRPr="00AA7531">
        <w:rPr>
          <w:rFonts w:ascii="Arial" w:eastAsia="Times New Roman" w:hAnsi="Arial" w:cs="Arial"/>
          <w:b/>
          <w:bCs/>
          <w:sz w:val="20"/>
          <w:szCs w:val="20"/>
          <w:lang w:eastAsia="pt-BR"/>
        </w:rPr>
        <w:t>Marcação na Curva</w:t>
      </w:r>
    </w:p>
    <w:p w:rsidR="00B75C56" w:rsidRPr="00AA7531" w:rsidRDefault="00B75C56" w:rsidP="00AA7531">
      <w:pPr>
        <w:spacing w:before="240" w:after="240" w:line="240" w:lineRule="auto"/>
        <w:jc w:val="both"/>
        <w:rPr>
          <w:rFonts w:ascii="Times New Roman" w:eastAsia="Times New Roman" w:hAnsi="Times New Roman" w:cs="Times New Roman"/>
          <w:sz w:val="24"/>
          <w:szCs w:val="24"/>
          <w:lang w:eastAsia="pt-BR"/>
        </w:rPr>
      </w:pPr>
      <w:r w:rsidRPr="00AA7531">
        <w:rPr>
          <w:rFonts w:ascii="Arial" w:eastAsia="Times New Roman" w:hAnsi="Arial" w:cs="Arial"/>
          <w:sz w:val="20"/>
          <w:szCs w:val="20"/>
          <w:lang w:eastAsia="pt-BR"/>
        </w:rPr>
        <w:t>Como a precificação na curva é dada pela apropriação natural de juros até a data de vencimento do título, as fórmulas variam de acordo com o tipo de papel, sendo:</w:t>
      </w:r>
    </w:p>
    <w:p w:rsidR="00B75C56" w:rsidRPr="00AA7531" w:rsidRDefault="00B75C56" w:rsidP="00B75C56">
      <w:pPr>
        <w:spacing w:before="240" w:after="240" w:line="240" w:lineRule="auto"/>
        <w:ind w:left="708"/>
        <w:rPr>
          <w:rFonts w:ascii="Times New Roman" w:eastAsia="Times New Roman" w:hAnsi="Times New Roman" w:cs="Times New Roman"/>
          <w:sz w:val="24"/>
          <w:szCs w:val="24"/>
          <w:lang w:eastAsia="pt-BR"/>
        </w:rPr>
      </w:pPr>
      <w:r w:rsidRPr="00AA7531">
        <w:rPr>
          <w:rFonts w:ascii="Arial" w:eastAsia="Times New Roman" w:hAnsi="Arial" w:cs="Arial"/>
          <w:b/>
          <w:bCs/>
          <w:i/>
          <w:iCs/>
          <w:sz w:val="20"/>
          <w:szCs w:val="20"/>
          <w:lang w:eastAsia="pt-BR"/>
        </w:rPr>
        <w:t>Tesouro IPCA - NTN-B</w:t>
      </w:r>
    </w:p>
    <w:p w:rsidR="00B75C56" w:rsidRPr="00AA7531" w:rsidRDefault="00B75C56" w:rsidP="00AA7531">
      <w:pPr>
        <w:spacing w:before="240" w:after="240" w:line="240" w:lineRule="auto"/>
        <w:jc w:val="both"/>
        <w:rPr>
          <w:rFonts w:ascii="Times New Roman" w:eastAsia="Times New Roman" w:hAnsi="Times New Roman" w:cs="Times New Roman"/>
          <w:sz w:val="24"/>
          <w:szCs w:val="24"/>
          <w:lang w:eastAsia="pt-BR"/>
        </w:rPr>
      </w:pPr>
      <w:r w:rsidRPr="00AA7531">
        <w:rPr>
          <w:rFonts w:ascii="Arial" w:eastAsia="Times New Roman" w:hAnsi="Arial" w:cs="Arial"/>
          <w:sz w:val="20"/>
          <w:szCs w:val="20"/>
          <w:lang w:eastAsia="pt-BR"/>
        </w:rPr>
        <w:t>O Tesouro IPCA - NTN-B Principal possui fluxo de pagamento simples, ou seja, o investidor faz a aplicação e resgata o valor de face (valor investido somado à rentabilidade) na data de vencimento do título.</w:t>
      </w:r>
    </w:p>
    <w:p w:rsidR="00B75C56" w:rsidRPr="00AA7531" w:rsidRDefault="00B75C56" w:rsidP="00AA7531">
      <w:pPr>
        <w:spacing w:before="240" w:after="240" w:line="240" w:lineRule="auto"/>
        <w:jc w:val="both"/>
        <w:rPr>
          <w:rFonts w:ascii="Times New Roman" w:eastAsia="Times New Roman" w:hAnsi="Times New Roman" w:cs="Times New Roman"/>
          <w:sz w:val="24"/>
          <w:szCs w:val="24"/>
          <w:lang w:eastAsia="pt-BR"/>
        </w:rPr>
      </w:pPr>
      <w:r w:rsidRPr="00AA7531">
        <w:rPr>
          <w:rFonts w:ascii="Arial" w:eastAsia="Times New Roman" w:hAnsi="Arial" w:cs="Arial"/>
          <w:sz w:val="20"/>
          <w:szCs w:val="20"/>
          <w:lang w:eastAsia="pt-BR"/>
        </w:rPr>
        <w:t>É um título pós-fixado cujo rendimento se dá por uma taxa definida mais a variação da taxa do Índice Nacional de Preço ao Consumidor Amplo em um determinado período.</w:t>
      </w:r>
    </w:p>
    <w:p w:rsidR="00B75C56" w:rsidRPr="00AA7531" w:rsidRDefault="00B75C56" w:rsidP="00AA7531">
      <w:pPr>
        <w:spacing w:before="240" w:after="240" w:line="240" w:lineRule="auto"/>
        <w:jc w:val="both"/>
        <w:rPr>
          <w:rFonts w:ascii="Times New Roman" w:eastAsia="Times New Roman" w:hAnsi="Times New Roman" w:cs="Times New Roman"/>
          <w:sz w:val="24"/>
          <w:szCs w:val="24"/>
          <w:lang w:eastAsia="pt-BR"/>
        </w:rPr>
      </w:pPr>
      <w:r w:rsidRPr="00AA7531">
        <w:rPr>
          <w:rFonts w:ascii="Arial" w:eastAsia="Times New Roman" w:hAnsi="Arial" w:cs="Arial"/>
          <w:sz w:val="20"/>
          <w:szCs w:val="20"/>
          <w:lang w:eastAsia="pt-BR"/>
        </w:rPr>
        <w:t>O Valor Nominal Atualizado é calculado através do VNA na data de compra do título e da projeção do IPCA para a data de liquidação, seguindo a equação:</w:t>
      </w:r>
    </w:p>
    <w:p w:rsidR="00B75C56" w:rsidRPr="00AA7531" w:rsidRDefault="00B75C56" w:rsidP="00B75C56">
      <w:pPr>
        <w:spacing w:before="240" w:after="240" w:line="240" w:lineRule="auto"/>
        <w:jc w:val="center"/>
        <w:rPr>
          <w:rFonts w:ascii="Times New Roman" w:eastAsia="Times New Roman" w:hAnsi="Times New Roman" w:cs="Times New Roman"/>
          <w:sz w:val="24"/>
          <w:szCs w:val="24"/>
          <w:lang w:eastAsia="pt-BR"/>
        </w:rPr>
      </w:pPr>
      <w:r w:rsidRPr="00AA7531">
        <w:rPr>
          <w:rFonts w:ascii="Cambria Math" w:eastAsia="Times New Roman" w:hAnsi="Cambria Math" w:cs="Times New Roman"/>
          <w:i/>
          <w:iCs/>
          <w:spacing w:val="20"/>
          <w:sz w:val="24"/>
          <w:szCs w:val="24"/>
          <w:lang w:eastAsia="pt-BR"/>
        </w:rPr>
        <w:t xml:space="preserve">VNA = </w:t>
      </w:r>
      <w:proofErr w:type="spellStart"/>
      <w:proofErr w:type="gramStart"/>
      <w:r w:rsidRPr="00AA7531">
        <w:rPr>
          <w:rFonts w:ascii="Cambria Math" w:eastAsia="Times New Roman" w:hAnsi="Cambria Math" w:cs="Times New Roman"/>
          <w:i/>
          <w:iCs/>
          <w:spacing w:val="20"/>
          <w:sz w:val="24"/>
          <w:szCs w:val="24"/>
          <w:lang w:eastAsia="pt-BR"/>
        </w:rPr>
        <w:t>VNA</w:t>
      </w:r>
      <w:r w:rsidRPr="00AA7531">
        <w:rPr>
          <w:rFonts w:ascii="Cambria Math" w:eastAsia="Times New Roman" w:hAnsi="Cambria Math" w:cs="Times New Roman"/>
          <w:i/>
          <w:iCs/>
          <w:spacing w:val="20"/>
          <w:sz w:val="24"/>
          <w:szCs w:val="24"/>
          <w:vertAlign w:val="subscript"/>
          <w:lang w:eastAsia="pt-BR"/>
        </w:rPr>
        <w:t>data</w:t>
      </w:r>
      <w:proofErr w:type="spellEnd"/>
      <w:proofErr w:type="gramEnd"/>
      <w:r w:rsidRPr="00AA7531">
        <w:rPr>
          <w:rFonts w:ascii="Cambria Math" w:eastAsia="Times New Roman" w:hAnsi="Cambria Math" w:cs="Times New Roman"/>
          <w:i/>
          <w:iCs/>
          <w:spacing w:val="20"/>
          <w:sz w:val="24"/>
          <w:szCs w:val="24"/>
          <w:vertAlign w:val="subscript"/>
          <w:lang w:eastAsia="pt-BR"/>
        </w:rPr>
        <w:t xml:space="preserve"> de compra </w:t>
      </w:r>
      <w:r w:rsidRPr="00AA7531">
        <w:rPr>
          <w:rFonts w:ascii="Cambria Math" w:eastAsia="Times New Roman" w:hAnsi="Cambria Math" w:cs="Times New Roman"/>
          <w:i/>
          <w:iCs/>
          <w:spacing w:val="20"/>
          <w:sz w:val="24"/>
          <w:szCs w:val="24"/>
          <w:lang w:eastAsia="pt-BR"/>
        </w:rPr>
        <w:t xml:space="preserve">* </w:t>
      </w:r>
      <w:r w:rsidRPr="00AA7531">
        <w:rPr>
          <w:rFonts w:ascii="Cambria Math" w:eastAsia="Times New Roman" w:hAnsi="Cambria Math" w:cs="Times New Roman"/>
          <w:spacing w:val="20"/>
          <w:sz w:val="24"/>
          <w:szCs w:val="24"/>
          <w:lang w:eastAsia="pt-BR"/>
        </w:rPr>
        <w:t xml:space="preserve">(1 + </w:t>
      </w:r>
      <w:proofErr w:type="spellStart"/>
      <w:r w:rsidRPr="00AA7531">
        <w:rPr>
          <w:rFonts w:ascii="Cambria Math" w:eastAsia="Times New Roman" w:hAnsi="Cambria Math" w:cs="Times New Roman"/>
          <w:i/>
          <w:iCs/>
          <w:spacing w:val="20"/>
          <w:sz w:val="24"/>
          <w:szCs w:val="24"/>
          <w:lang w:eastAsia="pt-BR"/>
        </w:rPr>
        <w:t>IPCA</w:t>
      </w:r>
      <w:r w:rsidRPr="00AA7531">
        <w:rPr>
          <w:rFonts w:ascii="Cambria Math" w:eastAsia="Times New Roman" w:hAnsi="Cambria Math" w:cs="Times New Roman"/>
          <w:i/>
          <w:iCs/>
          <w:spacing w:val="20"/>
          <w:sz w:val="24"/>
          <w:szCs w:val="24"/>
          <w:vertAlign w:val="subscript"/>
          <w:lang w:eastAsia="pt-BR"/>
        </w:rPr>
        <w:t>projetado</w:t>
      </w:r>
      <w:proofErr w:type="spellEnd"/>
      <w:r w:rsidRPr="00AA7531">
        <w:rPr>
          <w:rFonts w:ascii="Cambria Math" w:eastAsia="Times New Roman" w:hAnsi="Cambria Math" w:cs="Times New Roman"/>
          <w:spacing w:val="20"/>
          <w:sz w:val="24"/>
          <w:szCs w:val="24"/>
          <w:lang w:eastAsia="pt-BR"/>
        </w:rPr>
        <w:t>)</w:t>
      </w:r>
      <w:r w:rsidRPr="00AA7531">
        <w:rPr>
          <w:rFonts w:ascii="Cambria Math" w:eastAsia="Times New Roman" w:hAnsi="Cambria Math" w:cs="Times New Roman"/>
          <w:spacing w:val="20"/>
          <w:sz w:val="24"/>
          <w:szCs w:val="24"/>
          <w:vertAlign w:val="superscript"/>
          <w:lang w:eastAsia="pt-BR"/>
        </w:rPr>
        <w:t>1/252</w:t>
      </w:r>
    </w:p>
    <w:p w:rsidR="00B75C56" w:rsidRPr="00AA7531" w:rsidRDefault="00B75C56" w:rsidP="00B75C56">
      <w:pPr>
        <w:spacing w:before="240" w:after="240" w:line="240" w:lineRule="auto"/>
        <w:rPr>
          <w:rFonts w:ascii="Times New Roman" w:eastAsia="Times New Roman" w:hAnsi="Times New Roman" w:cs="Times New Roman"/>
          <w:sz w:val="24"/>
          <w:szCs w:val="24"/>
          <w:lang w:eastAsia="pt-BR"/>
        </w:rPr>
      </w:pPr>
      <w:r w:rsidRPr="00AA7531">
        <w:rPr>
          <w:rFonts w:ascii="Arial" w:eastAsia="Times New Roman" w:hAnsi="Arial" w:cs="Arial"/>
          <w:sz w:val="20"/>
          <w:szCs w:val="20"/>
          <w:lang w:eastAsia="pt-BR"/>
        </w:rPr>
        <w:lastRenderedPageBreak/>
        <w:t>Onde:</w:t>
      </w:r>
    </w:p>
    <w:p w:rsidR="00B75C56" w:rsidRPr="00AA7531" w:rsidRDefault="00B75C56" w:rsidP="00B75C56">
      <w:pPr>
        <w:spacing w:before="240" w:after="0" w:line="240" w:lineRule="auto"/>
        <w:ind w:left="1134"/>
        <w:rPr>
          <w:rFonts w:ascii="Times New Roman" w:eastAsia="Times New Roman" w:hAnsi="Times New Roman" w:cs="Times New Roman"/>
          <w:sz w:val="24"/>
          <w:szCs w:val="24"/>
          <w:lang w:eastAsia="pt-BR"/>
        </w:rPr>
      </w:pPr>
      <w:r w:rsidRPr="00AA7531">
        <w:rPr>
          <w:rFonts w:ascii="Cambria Math" w:eastAsia="Times New Roman" w:hAnsi="Cambria Math" w:cs="Times New Roman"/>
          <w:i/>
          <w:iCs/>
          <w:spacing w:val="20"/>
          <w:sz w:val="24"/>
          <w:szCs w:val="24"/>
          <w:lang w:eastAsia="pt-BR"/>
        </w:rPr>
        <w:t>VNA</w:t>
      </w:r>
      <w:r w:rsidRPr="00AA7531">
        <w:rPr>
          <w:rFonts w:ascii="Times New Roman" w:eastAsia="Times New Roman" w:hAnsi="Times New Roman" w:cs="Times New Roman"/>
          <w:sz w:val="24"/>
          <w:szCs w:val="24"/>
          <w:lang w:eastAsia="pt-BR"/>
        </w:rPr>
        <w:t xml:space="preserve"> </w:t>
      </w:r>
      <w:r w:rsidRPr="00AA7531">
        <w:rPr>
          <w:rFonts w:ascii="Arial" w:eastAsia="Times New Roman" w:hAnsi="Arial" w:cs="Arial"/>
          <w:sz w:val="20"/>
          <w:szCs w:val="20"/>
          <w:lang w:eastAsia="pt-BR"/>
        </w:rPr>
        <w:t>= Valor Nominal Atualizado</w:t>
      </w:r>
    </w:p>
    <w:p w:rsidR="00B75C56" w:rsidRPr="00AA7531" w:rsidRDefault="00B75C56" w:rsidP="00B75C56">
      <w:pPr>
        <w:spacing w:before="240" w:after="0" w:line="240" w:lineRule="auto"/>
        <w:ind w:left="1134"/>
        <w:rPr>
          <w:rFonts w:ascii="Times New Roman" w:eastAsia="Times New Roman" w:hAnsi="Times New Roman" w:cs="Times New Roman"/>
          <w:sz w:val="24"/>
          <w:szCs w:val="24"/>
          <w:lang w:eastAsia="pt-BR"/>
        </w:rPr>
      </w:pPr>
      <w:proofErr w:type="spellStart"/>
      <w:proofErr w:type="gramStart"/>
      <w:r w:rsidRPr="00AA7531">
        <w:rPr>
          <w:rFonts w:ascii="Cambria Math" w:eastAsia="Times New Roman" w:hAnsi="Cambria Math" w:cs="Times New Roman"/>
          <w:sz w:val="24"/>
          <w:szCs w:val="24"/>
          <w:lang w:eastAsia="pt-BR"/>
        </w:rPr>
        <w:t>VNA</w:t>
      </w:r>
      <w:r w:rsidRPr="00AA7531">
        <w:rPr>
          <w:rFonts w:ascii="Cambria Math" w:eastAsia="Times New Roman" w:hAnsi="Cambria Math" w:cs="Times New Roman"/>
          <w:i/>
          <w:iCs/>
          <w:spacing w:val="20"/>
          <w:sz w:val="24"/>
          <w:szCs w:val="24"/>
          <w:vertAlign w:val="subscript"/>
          <w:lang w:eastAsia="pt-BR"/>
        </w:rPr>
        <w:t>data</w:t>
      </w:r>
      <w:proofErr w:type="spellEnd"/>
      <w:proofErr w:type="gramEnd"/>
      <w:r w:rsidRPr="00AA7531">
        <w:rPr>
          <w:rFonts w:ascii="Cambria Math" w:eastAsia="Times New Roman" w:hAnsi="Cambria Math" w:cs="Times New Roman"/>
          <w:i/>
          <w:iCs/>
          <w:spacing w:val="20"/>
          <w:sz w:val="24"/>
          <w:szCs w:val="24"/>
          <w:vertAlign w:val="subscript"/>
          <w:lang w:eastAsia="pt-BR"/>
        </w:rPr>
        <w:t xml:space="preserve"> de compra</w:t>
      </w:r>
      <w:r w:rsidRPr="00AA7531">
        <w:rPr>
          <w:rFonts w:ascii="Cambria Math" w:eastAsia="Times New Roman" w:hAnsi="Cambria Math" w:cs="Times New Roman"/>
          <w:sz w:val="24"/>
          <w:szCs w:val="24"/>
          <w:vertAlign w:val="subscript"/>
          <w:lang w:eastAsia="pt-BR"/>
        </w:rPr>
        <w:t xml:space="preserve"> </w:t>
      </w:r>
      <w:r w:rsidRPr="00AA7531">
        <w:rPr>
          <w:rFonts w:ascii="Cambria Math" w:eastAsia="Times New Roman" w:hAnsi="Cambria Math" w:cs="Times New Roman"/>
          <w:spacing w:val="20"/>
          <w:sz w:val="24"/>
          <w:szCs w:val="24"/>
          <w:vertAlign w:val="subscript"/>
          <w:lang w:eastAsia="pt-BR"/>
        </w:rPr>
        <w:t>=</w:t>
      </w:r>
      <w:r w:rsidRPr="00AA7531">
        <w:rPr>
          <w:rFonts w:ascii="Cambria Math" w:eastAsia="Times New Roman" w:hAnsi="Cambria Math" w:cs="Times New Roman"/>
          <w:i/>
          <w:iCs/>
          <w:spacing w:val="20"/>
          <w:sz w:val="24"/>
          <w:szCs w:val="24"/>
          <w:vertAlign w:val="subscript"/>
          <w:lang w:eastAsia="pt-BR"/>
        </w:rPr>
        <w:t xml:space="preserve"> </w:t>
      </w:r>
      <w:r w:rsidRPr="00AA7531">
        <w:rPr>
          <w:rFonts w:ascii="Arial" w:eastAsia="Times New Roman" w:hAnsi="Arial" w:cs="Arial"/>
          <w:sz w:val="20"/>
          <w:szCs w:val="20"/>
          <w:lang w:eastAsia="pt-BR"/>
        </w:rPr>
        <w:t>Valor Nominal Atualizado na data da compra</w:t>
      </w:r>
    </w:p>
    <w:p w:rsidR="00B75C56" w:rsidRPr="00AA7531" w:rsidRDefault="00B75C56" w:rsidP="00B75C56">
      <w:pPr>
        <w:spacing w:before="240" w:after="240" w:line="240" w:lineRule="auto"/>
        <w:ind w:left="1134"/>
        <w:rPr>
          <w:rFonts w:ascii="Times New Roman" w:eastAsia="Times New Roman" w:hAnsi="Times New Roman" w:cs="Times New Roman"/>
          <w:sz w:val="24"/>
          <w:szCs w:val="24"/>
          <w:lang w:eastAsia="pt-BR"/>
        </w:rPr>
      </w:pPr>
      <w:proofErr w:type="spellStart"/>
      <w:proofErr w:type="gramStart"/>
      <w:r w:rsidRPr="00AA7531">
        <w:rPr>
          <w:rFonts w:ascii="Cambria Math" w:eastAsia="Times New Roman" w:hAnsi="Cambria Math" w:cs="Times New Roman"/>
          <w:sz w:val="24"/>
          <w:szCs w:val="24"/>
          <w:lang w:eastAsia="pt-BR"/>
        </w:rPr>
        <w:t>IPCA</w:t>
      </w:r>
      <w:r w:rsidRPr="00AA7531">
        <w:rPr>
          <w:rFonts w:ascii="Cambria Math" w:eastAsia="Times New Roman" w:hAnsi="Cambria Math" w:cs="Times New Roman"/>
          <w:i/>
          <w:iCs/>
          <w:spacing w:val="20"/>
          <w:sz w:val="24"/>
          <w:szCs w:val="24"/>
          <w:vertAlign w:val="subscript"/>
          <w:lang w:eastAsia="pt-BR"/>
        </w:rPr>
        <w:t>projetado</w:t>
      </w:r>
      <w:proofErr w:type="spellEnd"/>
      <w:proofErr w:type="gramEnd"/>
      <w:r w:rsidRPr="00AA7531">
        <w:rPr>
          <w:rFonts w:ascii="Cambria Math" w:eastAsia="Times New Roman" w:hAnsi="Cambria Math" w:cs="Times New Roman"/>
          <w:sz w:val="24"/>
          <w:szCs w:val="24"/>
          <w:lang w:eastAsia="pt-BR"/>
        </w:rPr>
        <w:t xml:space="preserve"> </w:t>
      </w:r>
      <w:r w:rsidRPr="00AA7531">
        <w:rPr>
          <w:rFonts w:ascii="Arial" w:eastAsia="Times New Roman" w:hAnsi="Arial" w:cs="Arial"/>
          <w:sz w:val="20"/>
          <w:szCs w:val="20"/>
          <w:lang w:eastAsia="pt-BR"/>
        </w:rPr>
        <w:t>= Inflação projetada para o final do exercício</w:t>
      </w:r>
    </w:p>
    <w:p w:rsidR="00B75C56" w:rsidRPr="00AA7531" w:rsidRDefault="00B75C56" w:rsidP="00AA7531">
      <w:pPr>
        <w:spacing w:before="240" w:after="240" w:line="240" w:lineRule="auto"/>
        <w:jc w:val="both"/>
        <w:rPr>
          <w:rFonts w:ascii="Times New Roman" w:eastAsia="Times New Roman" w:hAnsi="Times New Roman" w:cs="Times New Roman"/>
          <w:sz w:val="24"/>
          <w:szCs w:val="24"/>
          <w:lang w:eastAsia="pt-BR"/>
        </w:rPr>
      </w:pPr>
      <w:r w:rsidRPr="00AA7531">
        <w:rPr>
          <w:rFonts w:ascii="Arial" w:eastAsia="Times New Roman" w:hAnsi="Arial" w:cs="Arial"/>
          <w:sz w:val="20"/>
          <w:szCs w:val="20"/>
          <w:lang w:eastAsia="pt-BR"/>
        </w:rPr>
        <w:t>O rendimento da aplicação é recebido pelo investidor ao longo do investimento, por meio do pagamento de juros semestrais e na data de vencimento com resgate do valor de face somado ao último cupom de juros.</w:t>
      </w:r>
    </w:p>
    <w:p w:rsidR="00B75C56" w:rsidRPr="00AA7531" w:rsidRDefault="00B75C56" w:rsidP="00B75C56">
      <w:pPr>
        <w:spacing w:before="240" w:after="240" w:line="240" w:lineRule="auto"/>
        <w:ind w:left="708"/>
        <w:rPr>
          <w:rFonts w:ascii="Times New Roman" w:eastAsia="Times New Roman" w:hAnsi="Times New Roman" w:cs="Times New Roman"/>
          <w:sz w:val="24"/>
          <w:szCs w:val="24"/>
          <w:lang w:eastAsia="pt-BR"/>
        </w:rPr>
      </w:pPr>
      <w:r w:rsidRPr="00AA7531">
        <w:rPr>
          <w:rFonts w:ascii="Arial" w:eastAsia="Times New Roman" w:hAnsi="Arial" w:cs="Arial"/>
          <w:b/>
          <w:bCs/>
          <w:i/>
          <w:iCs/>
          <w:sz w:val="20"/>
          <w:szCs w:val="20"/>
          <w:lang w:eastAsia="pt-BR"/>
        </w:rPr>
        <w:t>Tesouro SELIC - LFT</w:t>
      </w:r>
    </w:p>
    <w:p w:rsidR="00B75C56" w:rsidRPr="00AA7531" w:rsidRDefault="00B75C56" w:rsidP="00AA7531">
      <w:pPr>
        <w:spacing w:before="240" w:after="100" w:afterAutospacing="1" w:line="240" w:lineRule="auto"/>
        <w:jc w:val="both"/>
        <w:rPr>
          <w:rFonts w:ascii="Times New Roman" w:eastAsia="Times New Roman" w:hAnsi="Times New Roman" w:cs="Times New Roman"/>
          <w:sz w:val="24"/>
          <w:szCs w:val="24"/>
          <w:lang w:eastAsia="pt-BR"/>
        </w:rPr>
      </w:pPr>
      <w:r w:rsidRPr="00AA7531">
        <w:rPr>
          <w:rFonts w:ascii="Arial" w:eastAsia="Times New Roman" w:hAnsi="Arial" w:cs="Arial"/>
          <w:sz w:val="20"/>
          <w:szCs w:val="20"/>
          <w:lang w:eastAsia="pt-BR"/>
        </w:rPr>
        <w:t>O Tesouro SELIC possui fluxo de pagamento simples pós-fixado pela variação da taxa SELIC.</w:t>
      </w:r>
    </w:p>
    <w:p w:rsidR="00B75C56" w:rsidRPr="00AA7531" w:rsidRDefault="00B75C56" w:rsidP="00AA7531">
      <w:pPr>
        <w:spacing w:before="240" w:after="100" w:afterAutospacing="1" w:line="240" w:lineRule="auto"/>
        <w:jc w:val="both"/>
        <w:rPr>
          <w:rFonts w:ascii="Times New Roman" w:eastAsia="Times New Roman" w:hAnsi="Times New Roman" w:cs="Times New Roman"/>
          <w:sz w:val="24"/>
          <w:szCs w:val="24"/>
          <w:lang w:eastAsia="pt-BR"/>
        </w:rPr>
      </w:pPr>
      <w:r w:rsidRPr="00AA7531">
        <w:rPr>
          <w:rFonts w:ascii="Arial" w:eastAsia="Times New Roman" w:hAnsi="Arial" w:cs="Arial"/>
          <w:sz w:val="20"/>
          <w:szCs w:val="20"/>
          <w:lang w:eastAsia="pt-BR"/>
        </w:rPr>
        <w:t>O valor projetado a ser pago pelo título</w:t>
      </w:r>
      <w:proofErr w:type="gramStart"/>
      <w:r w:rsidRPr="00AA7531">
        <w:rPr>
          <w:rFonts w:ascii="Arial" w:eastAsia="Times New Roman" w:hAnsi="Arial" w:cs="Arial"/>
          <w:sz w:val="20"/>
          <w:szCs w:val="20"/>
          <w:lang w:eastAsia="pt-BR"/>
        </w:rPr>
        <w:t>, é</w:t>
      </w:r>
      <w:proofErr w:type="gramEnd"/>
      <w:r w:rsidRPr="00AA7531">
        <w:rPr>
          <w:rFonts w:ascii="Arial" w:eastAsia="Times New Roman" w:hAnsi="Arial" w:cs="Arial"/>
          <w:sz w:val="20"/>
          <w:szCs w:val="20"/>
          <w:lang w:eastAsia="pt-BR"/>
        </w:rPr>
        <w:t xml:space="preserve"> o valor na data base, corrigido pela taxa acumulada da SELIC até o dia de compra, mais uma correção da taxa SELIC meta para dia da liquidação do título. Sendo seu cálculo:</w:t>
      </w:r>
    </w:p>
    <w:p w:rsidR="00B75C56" w:rsidRPr="00AA7531" w:rsidRDefault="00B75C56" w:rsidP="00B75C56">
      <w:pPr>
        <w:spacing w:before="240" w:after="100" w:afterAutospacing="1" w:line="240" w:lineRule="auto"/>
        <w:jc w:val="center"/>
        <w:rPr>
          <w:rFonts w:ascii="Times New Roman" w:eastAsia="Times New Roman" w:hAnsi="Times New Roman" w:cs="Times New Roman"/>
          <w:sz w:val="24"/>
          <w:szCs w:val="24"/>
          <w:lang w:eastAsia="pt-BR"/>
        </w:rPr>
      </w:pPr>
      <w:r w:rsidRPr="00AA7531">
        <w:rPr>
          <w:rFonts w:ascii="Cambria Math" w:eastAsia="Times New Roman" w:hAnsi="Cambria Math" w:cs="Times New Roman"/>
          <w:i/>
          <w:iCs/>
          <w:spacing w:val="20"/>
          <w:sz w:val="24"/>
          <w:szCs w:val="24"/>
          <w:lang w:eastAsia="pt-BR"/>
        </w:rPr>
        <w:t xml:space="preserve">VNA = </w:t>
      </w:r>
      <w:proofErr w:type="spellStart"/>
      <w:proofErr w:type="gramStart"/>
      <w:r w:rsidRPr="00AA7531">
        <w:rPr>
          <w:rFonts w:ascii="Cambria Math" w:eastAsia="Times New Roman" w:hAnsi="Cambria Math" w:cs="Times New Roman"/>
          <w:i/>
          <w:iCs/>
          <w:spacing w:val="20"/>
          <w:sz w:val="24"/>
          <w:szCs w:val="24"/>
          <w:lang w:eastAsia="pt-BR"/>
        </w:rPr>
        <w:t>VNA</w:t>
      </w:r>
      <w:r w:rsidRPr="00AA7531">
        <w:rPr>
          <w:rFonts w:ascii="Cambria Math" w:eastAsia="Times New Roman" w:hAnsi="Cambria Math" w:cs="Times New Roman"/>
          <w:i/>
          <w:iCs/>
          <w:spacing w:val="20"/>
          <w:sz w:val="24"/>
          <w:szCs w:val="24"/>
          <w:vertAlign w:val="subscript"/>
          <w:lang w:eastAsia="pt-BR"/>
        </w:rPr>
        <w:t>data</w:t>
      </w:r>
      <w:proofErr w:type="spellEnd"/>
      <w:proofErr w:type="gramEnd"/>
      <w:r w:rsidRPr="00AA7531">
        <w:rPr>
          <w:rFonts w:ascii="Cambria Math" w:eastAsia="Times New Roman" w:hAnsi="Cambria Math" w:cs="Times New Roman"/>
          <w:i/>
          <w:iCs/>
          <w:spacing w:val="20"/>
          <w:sz w:val="24"/>
          <w:szCs w:val="24"/>
          <w:vertAlign w:val="subscript"/>
          <w:lang w:eastAsia="pt-BR"/>
        </w:rPr>
        <w:t xml:space="preserve"> de compra </w:t>
      </w:r>
      <w:r w:rsidRPr="00AA7531">
        <w:rPr>
          <w:rFonts w:ascii="Cambria Math" w:eastAsia="Times New Roman" w:hAnsi="Cambria Math" w:cs="Times New Roman"/>
          <w:i/>
          <w:iCs/>
          <w:spacing w:val="20"/>
          <w:sz w:val="24"/>
          <w:szCs w:val="24"/>
          <w:lang w:eastAsia="pt-BR"/>
        </w:rPr>
        <w:t xml:space="preserve">* </w:t>
      </w:r>
      <w:r w:rsidRPr="00AA7531">
        <w:rPr>
          <w:rFonts w:ascii="Cambria Math" w:eastAsia="Times New Roman" w:hAnsi="Cambria Math" w:cs="Times New Roman"/>
          <w:spacing w:val="20"/>
          <w:sz w:val="24"/>
          <w:szCs w:val="24"/>
          <w:lang w:eastAsia="pt-BR"/>
        </w:rPr>
        <w:t xml:space="preserve">(1 + </w:t>
      </w:r>
      <w:proofErr w:type="spellStart"/>
      <w:r w:rsidRPr="00AA7531">
        <w:rPr>
          <w:rFonts w:ascii="Cambria Math" w:eastAsia="Times New Roman" w:hAnsi="Cambria Math" w:cs="Times New Roman"/>
          <w:i/>
          <w:iCs/>
          <w:spacing w:val="20"/>
          <w:sz w:val="24"/>
          <w:szCs w:val="24"/>
          <w:lang w:eastAsia="pt-BR"/>
        </w:rPr>
        <w:t>SELIC</w:t>
      </w:r>
      <w:r w:rsidRPr="00AA7531">
        <w:rPr>
          <w:rFonts w:ascii="Cambria Math" w:eastAsia="Times New Roman" w:hAnsi="Cambria Math" w:cs="Times New Roman"/>
          <w:i/>
          <w:iCs/>
          <w:spacing w:val="20"/>
          <w:sz w:val="24"/>
          <w:szCs w:val="24"/>
          <w:vertAlign w:val="subscript"/>
          <w:lang w:eastAsia="pt-BR"/>
        </w:rPr>
        <w:t>meta</w:t>
      </w:r>
      <w:proofErr w:type="spellEnd"/>
      <w:r w:rsidRPr="00AA7531">
        <w:rPr>
          <w:rFonts w:ascii="Cambria Math" w:eastAsia="Times New Roman" w:hAnsi="Cambria Math" w:cs="Times New Roman"/>
          <w:spacing w:val="20"/>
          <w:sz w:val="24"/>
          <w:szCs w:val="24"/>
          <w:lang w:eastAsia="pt-BR"/>
        </w:rPr>
        <w:t>)</w:t>
      </w:r>
      <w:r w:rsidRPr="00AA7531">
        <w:rPr>
          <w:rFonts w:ascii="Cambria Math" w:eastAsia="Times New Roman" w:hAnsi="Cambria Math" w:cs="Times New Roman"/>
          <w:spacing w:val="20"/>
          <w:sz w:val="24"/>
          <w:szCs w:val="24"/>
          <w:vertAlign w:val="superscript"/>
          <w:lang w:eastAsia="pt-BR"/>
        </w:rPr>
        <w:t>1/252</w:t>
      </w:r>
    </w:p>
    <w:p w:rsidR="00B75C56" w:rsidRPr="00AA7531" w:rsidRDefault="00B75C56" w:rsidP="00B75C56">
      <w:pPr>
        <w:spacing w:before="240" w:after="100" w:afterAutospacing="1" w:line="240" w:lineRule="auto"/>
        <w:rPr>
          <w:rFonts w:ascii="Times New Roman" w:eastAsia="Times New Roman" w:hAnsi="Times New Roman" w:cs="Times New Roman"/>
          <w:sz w:val="24"/>
          <w:szCs w:val="24"/>
          <w:lang w:eastAsia="pt-BR"/>
        </w:rPr>
      </w:pPr>
      <w:r w:rsidRPr="00AA7531">
        <w:rPr>
          <w:rFonts w:ascii="Arial" w:eastAsia="Times New Roman" w:hAnsi="Arial" w:cs="Arial"/>
          <w:sz w:val="20"/>
          <w:szCs w:val="20"/>
          <w:lang w:eastAsia="pt-BR"/>
        </w:rPr>
        <w:t> </w:t>
      </w:r>
    </w:p>
    <w:p w:rsidR="00B75C56" w:rsidRPr="00AA7531" w:rsidRDefault="00B75C56" w:rsidP="00B75C56">
      <w:pPr>
        <w:spacing w:before="240" w:after="100" w:afterAutospacing="1" w:line="240" w:lineRule="auto"/>
        <w:rPr>
          <w:rFonts w:ascii="Times New Roman" w:eastAsia="Times New Roman" w:hAnsi="Times New Roman" w:cs="Times New Roman"/>
          <w:sz w:val="24"/>
          <w:szCs w:val="24"/>
          <w:lang w:eastAsia="pt-BR"/>
        </w:rPr>
      </w:pPr>
      <w:r w:rsidRPr="00AA7531">
        <w:rPr>
          <w:rFonts w:ascii="Arial" w:eastAsia="Times New Roman" w:hAnsi="Arial" w:cs="Arial"/>
          <w:sz w:val="20"/>
          <w:szCs w:val="20"/>
          <w:lang w:eastAsia="pt-BR"/>
        </w:rPr>
        <w:t>Onde:</w:t>
      </w:r>
    </w:p>
    <w:p w:rsidR="00B75C56" w:rsidRPr="00AA7531" w:rsidRDefault="00B75C56" w:rsidP="00B75C56">
      <w:pPr>
        <w:spacing w:before="240" w:after="0" w:line="240" w:lineRule="auto"/>
        <w:ind w:left="1134"/>
        <w:rPr>
          <w:rFonts w:ascii="Times New Roman" w:eastAsia="Times New Roman" w:hAnsi="Times New Roman" w:cs="Times New Roman"/>
          <w:sz w:val="24"/>
          <w:szCs w:val="24"/>
          <w:lang w:eastAsia="pt-BR"/>
        </w:rPr>
      </w:pPr>
      <w:r w:rsidRPr="00AA7531">
        <w:rPr>
          <w:rFonts w:ascii="Cambria Math" w:eastAsia="Times New Roman" w:hAnsi="Cambria Math" w:cs="Times New Roman"/>
          <w:i/>
          <w:iCs/>
          <w:spacing w:val="20"/>
          <w:sz w:val="24"/>
          <w:szCs w:val="24"/>
          <w:lang w:eastAsia="pt-BR"/>
        </w:rPr>
        <w:t>VNA</w:t>
      </w:r>
      <w:r w:rsidRPr="00AA7531">
        <w:rPr>
          <w:rFonts w:ascii="Times New Roman" w:eastAsia="Times New Roman" w:hAnsi="Times New Roman" w:cs="Times New Roman"/>
          <w:sz w:val="24"/>
          <w:szCs w:val="24"/>
          <w:lang w:eastAsia="pt-BR"/>
        </w:rPr>
        <w:t xml:space="preserve"> </w:t>
      </w:r>
      <w:r w:rsidRPr="00AA7531">
        <w:rPr>
          <w:rFonts w:ascii="Arial" w:eastAsia="Times New Roman" w:hAnsi="Arial" w:cs="Arial"/>
          <w:sz w:val="20"/>
          <w:szCs w:val="20"/>
          <w:lang w:eastAsia="pt-BR"/>
        </w:rPr>
        <w:t>= Valor Nominal Atualizado</w:t>
      </w:r>
    </w:p>
    <w:p w:rsidR="00B75C56" w:rsidRPr="00AA7531" w:rsidRDefault="00B75C56" w:rsidP="00B75C56">
      <w:pPr>
        <w:spacing w:before="240" w:after="0" w:line="240" w:lineRule="auto"/>
        <w:ind w:left="1134"/>
        <w:rPr>
          <w:rFonts w:ascii="Times New Roman" w:eastAsia="Times New Roman" w:hAnsi="Times New Roman" w:cs="Times New Roman"/>
          <w:sz w:val="24"/>
          <w:szCs w:val="24"/>
          <w:lang w:eastAsia="pt-BR"/>
        </w:rPr>
      </w:pPr>
      <w:proofErr w:type="spellStart"/>
      <w:proofErr w:type="gramStart"/>
      <w:r w:rsidRPr="00AA7531">
        <w:rPr>
          <w:rFonts w:ascii="Cambria Math" w:eastAsia="Times New Roman" w:hAnsi="Cambria Math" w:cs="Times New Roman"/>
          <w:i/>
          <w:iCs/>
          <w:spacing w:val="20"/>
          <w:sz w:val="24"/>
          <w:szCs w:val="24"/>
          <w:lang w:eastAsia="pt-BR"/>
        </w:rPr>
        <w:t>VNA</w:t>
      </w:r>
      <w:r w:rsidRPr="00AA7531">
        <w:rPr>
          <w:rFonts w:ascii="Cambria Math" w:eastAsia="Times New Roman" w:hAnsi="Cambria Math" w:cs="Times New Roman"/>
          <w:i/>
          <w:iCs/>
          <w:spacing w:val="20"/>
          <w:sz w:val="24"/>
          <w:szCs w:val="24"/>
          <w:vertAlign w:val="subscript"/>
          <w:lang w:eastAsia="pt-BR"/>
        </w:rPr>
        <w:t>data</w:t>
      </w:r>
      <w:proofErr w:type="spellEnd"/>
      <w:proofErr w:type="gramEnd"/>
      <w:r w:rsidRPr="00AA7531">
        <w:rPr>
          <w:rFonts w:ascii="Cambria Math" w:eastAsia="Times New Roman" w:hAnsi="Cambria Math" w:cs="Times New Roman"/>
          <w:i/>
          <w:iCs/>
          <w:spacing w:val="20"/>
          <w:sz w:val="24"/>
          <w:szCs w:val="24"/>
          <w:vertAlign w:val="subscript"/>
          <w:lang w:eastAsia="pt-BR"/>
        </w:rPr>
        <w:t xml:space="preserve"> de compra</w:t>
      </w:r>
      <w:r w:rsidRPr="00AA7531">
        <w:rPr>
          <w:rFonts w:ascii="Times New Roman" w:eastAsia="Times New Roman" w:hAnsi="Times New Roman" w:cs="Times New Roman"/>
          <w:sz w:val="24"/>
          <w:szCs w:val="24"/>
          <w:lang w:eastAsia="pt-BR"/>
        </w:rPr>
        <w:t xml:space="preserve"> </w:t>
      </w:r>
      <w:r w:rsidRPr="00AA7531">
        <w:rPr>
          <w:rFonts w:ascii="Arial" w:eastAsia="Times New Roman" w:hAnsi="Arial" w:cs="Arial"/>
          <w:sz w:val="20"/>
          <w:szCs w:val="20"/>
          <w:lang w:eastAsia="pt-BR"/>
        </w:rPr>
        <w:t>= Valor Nominal Atualizado na data da compra</w:t>
      </w:r>
    </w:p>
    <w:p w:rsidR="00B75C56" w:rsidRPr="00AA7531" w:rsidRDefault="00B75C56" w:rsidP="00B75C56">
      <w:pPr>
        <w:spacing w:before="240" w:after="240" w:line="240" w:lineRule="auto"/>
        <w:ind w:left="1134"/>
        <w:rPr>
          <w:rFonts w:ascii="Times New Roman" w:eastAsia="Times New Roman" w:hAnsi="Times New Roman" w:cs="Times New Roman"/>
          <w:sz w:val="24"/>
          <w:szCs w:val="24"/>
          <w:lang w:eastAsia="pt-BR"/>
        </w:rPr>
      </w:pPr>
      <w:proofErr w:type="spellStart"/>
      <w:proofErr w:type="gramStart"/>
      <w:r w:rsidRPr="00AA7531">
        <w:rPr>
          <w:rFonts w:ascii="Cambria Math" w:eastAsia="Times New Roman" w:hAnsi="Cambria Math" w:cs="Times New Roman"/>
          <w:i/>
          <w:iCs/>
          <w:spacing w:val="20"/>
          <w:sz w:val="24"/>
          <w:szCs w:val="24"/>
          <w:lang w:eastAsia="pt-BR"/>
        </w:rPr>
        <w:t>SELIC</w:t>
      </w:r>
      <w:r w:rsidRPr="00AA7531">
        <w:rPr>
          <w:rFonts w:ascii="Cambria Math" w:eastAsia="Times New Roman" w:hAnsi="Cambria Math" w:cs="Times New Roman"/>
          <w:i/>
          <w:iCs/>
          <w:spacing w:val="20"/>
          <w:sz w:val="24"/>
          <w:szCs w:val="24"/>
          <w:vertAlign w:val="subscript"/>
          <w:lang w:eastAsia="pt-BR"/>
        </w:rPr>
        <w:t>meta</w:t>
      </w:r>
      <w:proofErr w:type="spellEnd"/>
      <w:proofErr w:type="gramEnd"/>
      <w:r w:rsidRPr="00AA7531">
        <w:rPr>
          <w:rFonts w:ascii="Times New Roman" w:eastAsia="Times New Roman" w:hAnsi="Times New Roman" w:cs="Times New Roman"/>
          <w:sz w:val="24"/>
          <w:szCs w:val="24"/>
          <w:lang w:eastAsia="pt-BR"/>
        </w:rPr>
        <w:t xml:space="preserve"> </w:t>
      </w:r>
      <w:r w:rsidRPr="00AA7531">
        <w:rPr>
          <w:rFonts w:ascii="Arial" w:eastAsia="Times New Roman" w:hAnsi="Arial" w:cs="Arial"/>
          <w:sz w:val="20"/>
          <w:szCs w:val="20"/>
          <w:lang w:eastAsia="pt-BR"/>
        </w:rPr>
        <w:t>= Inflação atualizada</w:t>
      </w:r>
    </w:p>
    <w:p w:rsidR="00B75C56" w:rsidRPr="00AA7531" w:rsidRDefault="00B75C56" w:rsidP="00B75C56">
      <w:pPr>
        <w:spacing w:before="240" w:after="240" w:line="240" w:lineRule="auto"/>
        <w:ind w:left="708"/>
        <w:rPr>
          <w:rFonts w:ascii="Times New Roman" w:eastAsia="Times New Roman" w:hAnsi="Times New Roman" w:cs="Times New Roman"/>
          <w:sz w:val="24"/>
          <w:szCs w:val="24"/>
          <w:lang w:eastAsia="pt-BR"/>
        </w:rPr>
      </w:pPr>
      <w:r w:rsidRPr="00AA7531">
        <w:rPr>
          <w:rFonts w:ascii="Arial" w:eastAsia="Times New Roman" w:hAnsi="Arial" w:cs="Arial"/>
          <w:b/>
          <w:bCs/>
          <w:i/>
          <w:iCs/>
          <w:sz w:val="20"/>
          <w:szCs w:val="20"/>
          <w:lang w:eastAsia="pt-BR"/>
        </w:rPr>
        <w:t>Tesouro Prefixado - LTN</w:t>
      </w:r>
    </w:p>
    <w:p w:rsidR="00B75C56" w:rsidRPr="00581DB4" w:rsidRDefault="00B75C56" w:rsidP="00581DB4">
      <w:pPr>
        <w:spacing w:before="240" w:after="100" w:afterAutospacing="1" w:line="240" w:lineRule="auto"/>
        <w:jc w:val="both"/>
        <w:rPr>
          <w:rFonts w:ascii="Times New Roman" w:eastAsia="Times New Roman" w:hAnsi="Times New Roman" w:cs="Times New Roman"/>
          <w:sz w:val="24"/>
          <w:szCs w:val="24"/>
          <w:lang w:eastAsia="pt-BR"/>
        </w:rPr>
      </w:pPr>
      <w:r w:rsidRPr="00581DB4">
        <w:rPr>
          <w:rFonts w:ascii="Arial" w:eastAsia="Times New Roman" w:hAnsi="Arial" w:cs="Arial"/>
          <w:sz w:val="20"/>
          <w:szCs w:val="20"/>
          <w:lang w:eastAsia="pt-BR"/>
        </w:rPr>
        <w:t>A LTN é um título prefixado, ou seja, sua rentabilidade é definida no momento da compra, que não faz pagamentos semestrais. A rentabilidade é calculada pela diferença entre o preço de compra do título e seu valor nominal no vencimento, R$ 1.000,00.</w:t>
      </w:r>
    </w:p>
    <w:p w:rsidR="00B75C56" w:rsidRPr="00581DB4" w:rsidRDefault="00B75C56" w:rsidP="00581DB4">
      <w:pPr>
        <w:spacing w:before="240" w:after="100" w:afterAutospacing="1" w:line="240" w:lineRule="auto"/>
        <w:jc w:val="both"/>
        <w:rPr>
          <w:rFonts w:ascii="Times New Roman" w:eastAsia="Times New Roman" w:hAnsi="Times New Roman" w:cs="Times New Roman"/>
          <w:sz w:val="24"/>
          <w:szCs w:val="24"/>
          <w:lang w:eastAsia="pt-BR"/>
        </w:rPr>
      </w:pPr>
      <w:r w:rsidRPr="00581DB4">
        <w:rPr>
          <w:rFonts w:ascii="Arial" w:eastAsia="Times New Roman" w:hAnsi="Arial" w:cs="Arial"/>
          <w:sz w:val="20"/>
          <w:szCs w:val="20"/>
          <w:lang w:eastAsia="pt-BR"/>
        </w:rPr>
        <w:t>A partir da diferença entre o preço de compra e o de venda, é possível determinar a taxa de rendimento. Essa taxa pode ser calculada de duas formas:</w:t>
      </w:r>
    </w:p>
    <w:p w:rsidR="00B75C56" w:rsidRPr="00581DB4" w:rsidRDefault="00B75C56" w:rsidP="00B75C56">
      <w:pPr>
        <w:spacing w:before="240" w:after="100" w:afterAutospacing="1" w:line="240" w:lineRule="auto"/>
        <w:rPr>
          <w:rFonts w:ascii="Times New Roman" w:eastAsia="Times New Roman" w:hAnsi="Times New Roman" w:cs="Times New Roman"/>
          <w:sz w:val="24"/>
          <w:szCs w:val="24"/>
          <w:lang w:eastAsia="pt-BR"/>
        </w:rPr>
      </w:pPr>
      <w:r w:rsidRPr="00581DB4">
        <w:rPr>
          <w:rFonts w:ascii="Arial" w:eastAsia="Times New Roman" w:hAnsi="Arial" w:cs="Arial"/>
          <w:sz w:val="20"/>
          <w:szCs w:val="20"/>
          <w:lang w:eastAsia="pt-BR"/>
        </w:rPr>
        <w:t>Onde:</w:t>
      </w:r>
    </w:p>
    <w:p w:rsidR="00B75C56" w:rsidRPr="00581DB4" w:rsidRDefault="00B75C56" w:rsidP="00B75C56">
      <w:pPr>
        <w:spacing w:before="240" w:after="0" w:line="240" w:lineRule="auto"/>
        <w:ind w:left="1134"/>
        <w:rPr>
          <w:rFonts w:ascii="Times New Roman" w:eastAsia="Times New Roman" w:hAnsi="Times New Roman" w:cs="Times New Roman"/>
          <w:sz w:val="24"/>
          <w:szCs w:val="24"/>
          <w:lang w:eastAsia="pt-BR"/>
        </w:rPr>
      </w:pPr>
      <w:r w:rsidRPr="00581DB4">
        <w:rPr>
          <w:rFonts w:ascii="Cambria Math" w:eastAsia="Times New Roman" w:hAnsi="Cambria Math" w:cs="Times New Roman"/>
          <w:i/>
          <w:iCs/>
          <w:spacing w:val="20"/>
          <w:sz w:val="24"/>
          <w:szCs w:val="24"/>
          <w:lang w:eastAsia="pt-BR"/>
        </w:rPr>
        <w:t>Taxa Efetiva no Período</w:t>
      </w:r>
      <w:r w:rsidRPr="00581DB4">
        <w:rPr>
          <w:rFonts w:ascii="Times New Roman" w:eastAsia="Times New Roman" w:hAnsi="Times New Roman" w:cs="Times New Roman"/>
          <w:sz w:val="24"/>
          <w:szCs w:val="24"/>
          <w:lang w:eastAsia="pt-BR"/>
        </w:rPr>
        <w:t xml:space="preserve"> </w:t>
      </w:r>
      <w:r w:rsidRPr="00581DB4">
        <w:rPr>
          <w:rFonts w:ascii="Arial" w:eastAsia="Times New Roman" w:hAnsi="Arial" w:cs="Arial"/>
          <w:sz w:val="20"/>
          <w:szCs w:val="20"/>
          <w:lang w:eastAsia="pt-BR"/>
        </w:rPr>
        <w:t>= Taxa negociada no momento da compra</w:t>
      </w:r>
    </w:p>
    <w:p w:rsidR="00B75C56" w:rsidRPr="00581DB4" w:rsidRDefault="00B75C56" w:rsidP="00B75C56">
      <w:pPr>
        <w:spacing w:before="240" w:after="0" w:line="240" w:lineRule="auto"/>
        <w:ind w:left="1134"/>
        <w:rPr>
          <w:rFonts w:ascii="Times New Roman" w:eastAsia="Times New Roman" w:hAnsi="Times New Roman" w:cs="Times New Roman"/>
          <w:sz w:val="24"/>
          <w:szCs w:val="24"/>
          <w:lang w:eastAsia="pt-BR"/>
        </w:rPr>
      </w:pPr>
      <w:r w:rsidRPr="00581DB4">
        <w:rPr>
          <w:rFonts w:ascii="Cambria Math" w:eastAsia="Times New Roman" w:hAnsi="Cambria Math" w:cs="Times New Roman"/>
          <w:i/>
          <w:iCs/>
          <w:spacing w:val="20"/>
          <w:sz w:val="24"/>
          <w:szCs w:val="24"/>
          <w:lang w:eastAsia="pt-BR"/>
        </w:rPr>
        <w:t xml:space="preserve">Valor de Venda </w:t>
      </w:r>
      <w:r w:rsidRPr="00581DB4">
        <w:rPr>
          <w:rFonts w:ascii="Arial" w:eastAsia="Times New Roman" w:hAnsi="Arial" w:cs="Arial"/>
          <w:sz w:val="20"/>
          <w:szCs w:val="20"/>
          <w:lang w:eastAsia="pt-BR"/>
        </w:rPr>
        <w:t>= Valor de negociação do Título Público na data final</w:t>
      </w:r>
    </w:p>
    <w:p w:rsidR="00B75C56" w:rsidRPr="00581DB4" w:rsidRDefault="00B75C56" w:rsidP="00B75C56">
      <w:pPr>
        <w:spacing w:before="240" w:after="160" w:line="240" w:lineRule="auto"/>
        <w:ind w:left="1134"/>
        <w:rPr>
          <w:rFonts w:ascii="Times New Roman" w:eastAsia="Times New Roman" w:hAnsi="Times New Roman" w:cs="Times New Roman"/>
          <w:sz w:val="24"/>
          <w:szCs w:val="24"/>
          <w:lang w:eastAsia="pt-BR"/>
        </w:rPr>
      </w:pPr>
      <w:r w:rsidRPr="00581DB4">
        <w:rPr>
          <w:rFonts w:ascii="Cambria Math" w:eastAsia="Times New Roman" w:hAnsi="Cambria Math" w:cs="Times New Roman"/>
          <w:i/>
          <w:iCs/>
          <w:spacing w:val="20"/>
          <w:sz w:val="24"/>
          <w:szCs w:val="24"/>
          <w:lang w:eastAsia="pt-BR"/>
        </w:rPr>
        <w:t>Valor de Compra</w:t>
      </w:r>
      <w:r w:rsidRPr="00581DB4">
        <w:rPr>
          <w:rFonts w:ascii="Times New Roman" w:eastAsia="Times New Roman" w:hAnsi="Times New Roman" w:cs="Times New Roman"/>
          <w:sz w:val="24"/>
          <w:szCs w:val="24"/>
          <w:lang w:eastAsia="pt-BR"/>
        </w:rPr>
        <w:t xml:space="preserve"> </w:t>
      </w:r>
      <w:r w:rsidRPr="00581DB4">
        <w:rPr>
          <w:rFonts w:ascii="Arial" w:eastAsia="Times New Roman" w:hAnsi="Arial" w:cs="Arial"/>
          <w:sz w:val="20"/>
          <w:szCs w:val="20"/>
          <w:lang w:eastAsia="pt-BR"/>
        </w:rPr>
        <w:t>= Valor de negociação do Título na aquisição</w:t>
      </w:r>
    </w:p>
    <w:p w:rsidR="00B75C56" w:rsidRPr="00581DB4" w:rsidRDefault="00B75C56" w:rsidP="00B75C56">
      <w:pPr>
        <w:spacing w:before="240" w:after="100" w:afterAutospacing="1" w:line="240" w:lineRule="auto"/>
        <w:rPr>
          <w:rFonts w:ascii="Times New Roman" w:eastAsia="Times New Roman" w:hAnsi="Times New Roman" w:cs="Times New Roman"/>
          <w:sz w:val="24"/>
          <w:szCs w:val="24"/>
          <w:lang w:eastAsia="pt-BR"/>
        </w:rPr>
      </w:pPr>
      <w:r w:rsidRPr="00581DB4">
        <w:rPr>
          <w:rFonts w:ascii="Arial" w:eastAsia="Times New Roman" w:hAnsi="Arial" w:cs="Arial"/>
          <w:sz w:val="20"/>
          <w:szCs w:val="20"/>
          <w:lang w:eastAsia="pt-BR"/>
        </w:rPr>
        <w:t>Ou, tendo como base um ano de 252 dias úteis:</w:t>
      </w:r>
    </w:p>
    <w:p w:rsidR="00B75C56" w:rsidRPr="00581DB4" w:rsidRDefault="00B75C56" w:rsidP="00B75C56">
      <w:pPr>
        <w:spacing w:before="240" w:after="100" w:afterAutospacing="1" w:line="240" w:lineRule="auto"/>
        <w:rPr>
          <w:rFonts w:ascii="Times New Roman" w:eastAsia="Times New Roman" w:hAnsi="Times New Roman" w:cs="Times New Roman"/>
          <w:sz w:val="24"/>
          <w:szCs w:val="24"/>
          <w:lang w:eastAsia="pt-BR"/>
        </w:rPr>
      </w:pPr>
    </w:p>
    <w:p w:rsidR="00B75C56" w:rsidRPr="00581DB4" w:rsidRDefault="00B75C56" w:rsidP="00B75C56">
      <w:pPr>
        <w:spacing w:before="240" w:after="100" w:afterAutospacing="1" w:line="240" w:lineRule="auto"/>
        <w:rPr>
          <w:rFonts w:ascii="Times New Roman" w:eastAsia="Times New Roman" w:hAnsi="Times New Roman" w:cs="Times New Roman"/>
          <w:sz w:val="24"/>
          <w:szCs w:val="24"/>
          <w:lang w:eastAsia="pt-BR"/>
        </w:rPr>
      </w:pPr>
      <w:r w:rsidRPr="00581DB4">
        <w:rPr>
          <w:rFonts w:ascii="Arial" w:eastAsia="Times New Roman" w:hAnsi="Arial" w:cs="Arial"/>
          <w:sz w:val="20"/>
          <w:szCs w:val="20"/>
          <w:lang w:eastAsia="pt-BR"/>
        </w:rPr>
        <w:lastRenderedPageBreak/>
        <w:t>Onde:</w:t>
      </w:r>
    </w:p>
    <w:p w:rsidR="00B75C56" w:rsidRPr="00581DB4" w:rsidRDefault="00B75C56" w:rsidP="00B75C56">
      <w:pPr>
        <w:spacing w:before="240" w:after="0" w:line="240" w:lineRule="auto"/>
        <w:ind w:left="1134"/>
        <w:rPr>
          <w:rFonts w:ascii="Times New Roman" w:eastAsia="Times New Roman" w:hAnsi="Times New Roman" w:cs="Times New Roman"/>
          <w:sz w:val="24"/>
          <w:szCs w:val="24"/>
          <w:lang w:eastAsia="pt-BR"/>
        </w:rPr>
      </w:pPr>
      <w:r w:rsidRPr="00581DB4">
        <w:rPr>
          <w:rFonts w:ascii="Cambria Math" w:eastAsia="Times New Roman" w:hAnsi="Cambria Math" w:cs="Times New Roman"/>
          <w:i/>
          <w:iCs/>
          <w:spacing w:val="20"/>
          <w:sz w:val="24"/>
          <w:szCs w:val="24"/>
          <w:lang w:eastAsia="pt-BR"/>
        </w:rPr>
        <w:t>Taxa Efetiva no Período</w:t>
      </w:r>
      <w:r w:rsidRPr="00581DB4">
        <w:rPr>
          <w:rFonts w:ascii="Times New Roman" w:eastAsia="Times New Roman" w:hAnsi="Times New Roman" w:cs="Times New Roman"/>
          <w:sz w:val="24"/>
          <w:szCs w:val="24"/>
          <w:lang w:eastAsia="pt-BR"/>
        </w:rPr>
        <w:t xml:space="preserve"> </w:t>
      </w:r>
      <w:r w:rsidRPr="00581DB4">
        <w:rPr>
          <w:rFonts w:ascii="Arial" w:eastAsia="Times New Roman" w:hAnsi="Arial" w:cs="Arial"/>
          <w:sz w:val="20"/>
          <w:szCs w:val="20"/>
          <w:lang w:eastAsia="pt-BR"/>
        </w:rPr>
        <w:t>= Taxa negociada no momento da compra</w:t>
      </w:r>
    </w:p>
    <w:p w:rsidR="00B75C56" w:rsidRPr="00581DB4" w:rsidRDefault="00B75C56" w:rsidP="00B75C56">
      <w:pPr>
        <w:spacing w:before="240" w:after="0" w:line="240" w:lineRule="auto"/>
        <w:ind w:left="1134"/>
        <w:rPr>
          <w:rFonts w:ascii="Times New Roman" w:eastAsia="Times New Roman" w:hAnsi="Times New Roman" w:cs="Times New Roman"/>
          <w:sz w:val="24"/>
          <w:szCs w:val="24"/>
          <w:lang w:eastAsia="pt-BR"/>
        </w:rPr>
      </w:pPr>
      <w:r w:rsidRPr="00581DB4">
        <w:rPr>
          <w:rFonts w:ascii="Cambria Math" w:eastAsia="Times New Roman" w:hAnsi="Cambria Math" w:cs="Times New Roman"/>
          <w:i/>
          <w:iCs/>
          <w:spacing w:val="20"/>
          <w:sz w:val="24"/>
          <w:szCs w:val="24"/>
          <w:lang w:eastAsia="pt-BR"/>
        </w:rPr>
        <w:t xml:space="preserve">Valor de Venda </w:t>
      </w:r>
      <w:r w:rsidRPr="00581DB4">
        <w:rPr>
          <w:rFonts w:ascii="Arial" w:eastAsia="Times New Roman" w:hAnsi="Arial" w:cs="Arial"/>
          <w:sz w:val="20"/>
          <w:szCs w:val="20"/>
          <w:lang w:eastAsia="pt-BR"/>
        </w:rPr>
        <w:t>= Valor de negociação do Título Público na data final</w:t>
      </w:r>
    </w:p>
    <w:p w:rsidR="00B75C56" w:rsidRPr="00581DB4" w:rsidRDefault="00B75C56" w:rsidP="00B75C56">
      <w:pPr>
        <w:spacing w:before="240" w:after="160" w:line="240" w:lineRule="auto"/>
        <w:ind w:left="1134"/>
        <w:rPr>
          <w:rFonts w:ascii="Times New Roman" w:eastAsia="Times New Roman" w:hAnsi="Times New Roman" w:cs="Times New Roman"/>
          <w:sz w:val="24"/>
          <w:szCs w:val="24"/>
          <w:lang w:eastAsia="pt-BR"/>
        </w:rPr>
      </w:pPr>
      <w:r w:rsidRPr="00581DB4">
        <w:rPr>
          <w:rFonts w:ascii="Cambria Math" w:eastAsia="Times New Roman" w:hAnsi="Cambria Math" w:cs="Times New Roman"/>
          <w:i/>
          <w:iCs/>
          <w:spacing w:val="20"/>
          <w:sz w:val="24"/>
          <w:szCs w:val="24"/>
          <w:lang w:eastAsia="pt-BR"/>
        </w:rPr>
        <w:t>Valor de Compra</w:t>
      </w:r>
      <w:r w:rsidRPr="00581DB4">
        <w:rPr>
          <w:rFonts w:ascii="Times New Roman" w:eastAsia="Times New Roman" w:hAnsi="Times New Roman" w:cs="Times New Roman"/>
          <w:sz w:val="24"/>
          <w:szCs w:val="24"/>
          <w:lang w:eastAsia="pt-BR"/>
        </w:rPr>
        <w:t xml:space="preserve"> </w:t>
      </w:r>
      <w:r w:rsidRPr="00581DB4">
        <w:rPr>
          <w:rFonts w:ascii="Arial" w:eastAsia="Times New Roman" w:hAnsi="Arial" w:cs="Arial"/>
          <w:sz w:val="20"/>
          <w:szCs w:val="20"/>
          <w:lang w:eastAsia="pt-BR"/>
        </w:rPr>
        <w:t>= Valor de negociação do Título na aquisição</w:t>
      </w:r>
    </w:p>
    <w:p w:rsidR="00B75C56" w:rsidRPr="00581DB4" w:rsidRDefault="00B75C56" w:rsidP="00B75C56">
      <w:pPr>
        <w:spacing w:before="240" w:after="240" w:line="240" w:lineRule="auto"/>
        <w:ind w:left="708"/>
        <w:rPr>
          <w:rFonts w:ascii="Times New Roman" w:eastAsia="Times New Roman" w:hAnsi="Times New Roman" w:cs="Times New Roman"/>
          <w:sz w:val="24"/>
          <w:szCs w:val="24"/>
          <w:lang w:eastAsia="pt-BR"/>
        </w:rPr>
      </w:pPr>
      <w:r w:rsidRPr="00581DB4">
        <w:rPr>
          <w:rFonts w:ascii="Arial" w:eastAsia="Times New Roman" w:hAnsi="Arial" w:cs="Arial"/>
          <w:b/>
          <w:bCs/>
          <w:i/>
          <w:iCs/>
          <w:sz w:val="20"/>
          <w:szCs w:val="20"/>
          <w:lang w:eastAsia="pt-BR"/>
        </w:rPr>
        <w:t>Tesouro Prefixado com Juros Semestrais - NTN-F</w:t>
      </w:r>
    </w:p>
    <w:p w:rsidR="00B75C56" w:rsidRPr="00581DB4" w:rsidRDefault="00B75C56" w:rsidP="00581DB4">
      <w:pPr>
        <w:spacing w:before="240" w:after="100" w:afterAutospacing="1" w:line="240" w:lineRule="auto"/>
        <w:jc w:val="both"/>
        <w:rPr>
          <w:rFonts w:ascii="Times New Roman" w:eastAsia="Times New Roman" w:hAnsi="Times New Roman" w:cs="Times New Roman"/>
          <w:sz w:val="24"/>
          <w:szCs w:val="24"/>
          <w:lang w:eastAsia="pt-BR"/>
        </w:rPr>
      </w:pPr>
      <w:r w:rsidRPr="00581DB4">
        <w:rPr>
          <w:rFonts w:ascii="Arial" w:eastAsia="Times New Roman" w:hAnsi="Arial" w:cs="Arial"/>
          <w:sz w:val="20"/>
          <w:szCs w:val="20"/>
          <w:lang w:eastAsia="pt-BR"/>
        </w:rPr>
        <w:t xml:space="preserve">Na NTN-F ocorre uma situação semelhante </w:t>
      </w:r>
      <w:proofErr w:type="gramStart"/>
      <w:r w:rsidRPr="00581DB4">
        <w:rPr>
          <w:rFonts w:ascii="Arial" w:eastAsia="Times New Roman" w:hAnsi="Arial" w:cs="Arial"/>
          <w:sz w:val="20"/>
          <w:szCs w:val="20"/>
          <w:lang w:eastAsia="pt-BR"/>
        </w:rPr>
        <w:t>a</w:t>
      </w:r>
      <w:proofErr w:type="gramEnd"/>
      <w:r w:rsidRPr="00581DB4">
        <w:rPr>
          <w:rFonts w:ascii="Arial" w:eastAsia="Times New Roman" w:hAnsi="Arial" w:cs="Arial"/>
          <w:sz w:val="20"/>
          <w:szCs w:val="20"/>
          <w:lang w:eastAsia="pt-BR"/>
        </w:rPr>
        <w:t xml:space="preserve"> NTN-B, com pagamentos semestrais de juros só que com a taxa pré-fixada e pagamento do último cupom ocorre no vencimento do título, juntamente com o resgate do valor de face.</w:t>
      </w:r>
    </w:p>
    <w:p w:rsidR="00B75C56" w:rsidRPr="00581DB4" w:rsidRDefault="00B75C56" w:rsidP="00581DB4">
      <w:pPr>
        <w:spacing w:before="240" w:after="100" w:afterAutospacing="1" w:line="240" w:lineRule="auto"/>
        <w:jc w:val="both"/>
        <w:rPr>
          <w:rFonts w:ascii="Times New Roman" w:eastAsia="Times New Roman" w:hAnsi="Times New Roman" w:cs="Times New Roman"/>
          <w:sz w:val="24"/>
          <w:szCs w:val="24"/>
          <w:lang w:eastAsia="pt-BR"/>
        </w:rPr>
      </w:pPr>
      <w:r w:rsidRPr="00581DB4">
        <w:rPr>
          <w:rFonts w:ascii="Arial" w:eastAsia="Times New Roman" w:hAnsi="Arial" w:cs="Arial"/>
          <w:sz w:val="20"/>
          <w:szCs w:val="20"/>
          <w:lang w:eastAsia="pt-BR"/>
        </w:rPr>
        <w:t>A rentabilidade do Tesouro Pré-fixado com Juros Semestrais pode ser calculada segundo a equação:</w:t>
      </w:r>
    </w:p>
    <w:p w:rsidR="00B75C56" w:rsidRPr="00581DB4" w:rsidRDefault="00B75C56" w:rsidP="00581DB4">
      <w:pPr>
        <w:spacing w:before="240" w:after="100" w:afterAutospacing="1" w:line="240" w:lineRule="auto"/>
        <w:jc w:val="both"/>
        <w:rPr>
          <w:rFonts w:ascii="Times New Roman" w:eastAsia="Times New Roman" w:hAnsi="Times New Roman" w:cs="Times New Roman"/>
          <w:sz w:val="24"/>
          <w:szCs w:val="24"/>
          <w:lang w:eastAsia="pt-BR"/>
        </w:rPr>
      </w:pPr>
      <w:r w:rsidRPr="00581DB4">
        <w:rPr>
          <w:rFonts w:ascii="Arial" w:eastAsia="Times New Roman" w:hAnsi="Arial" w:cs="Arial"/>
          <w:sz w:val="20"/>
          <w:szCs w:val="20"/>
          <w:lang w:eastAsia="pt-BR"/>
        </w:rPr>
        <w:t xml:space="preserve">Em que </w:t>
      </w:r>
      <w:proofErr w:type="spellStart"/>
      <w:proofErr w:type="gramStart"/>
      <w:r w:rsidRPr="00581DB4">
        <w:rPr>
          <w:rFonts w:ascii="Arial" w:eastAsia="Times New Roman" w:hAnsi="Arial" w:cs="Arial"/>
          <w:sz w:val="20"/>
          <w:szCs w:val="20"/>
          <w:lang w:eastAsia="pt-BR"/>
        </w:rPr>
        <w:t>DU</w:t>
      </w:r>
      <w:r w:rsidRPr="00581DB4">
        <w:rPr>
          <w:rFonts w:ascii="Arial" w:eastAsia="Times New Roman" w:hAnsi="Arial" w:cs="Arial"/>
          <w:i/>
          <w:iCs/>
          <w:sz w:val="20"/>
          <w:szCs w:val="20"/>
          <w:lang w:eastAsia="pt-BR"/>
        </w:rPr>
        <w:t>n</w:t>
      </w:r>
      <w:proofErr w:type="spellEnd"/>
      <w:proofErr w:type="gramEnd"/>
      <w:r w:rsidRPr="00581DB4">
        <w:rPr>
          <w:rFonts w:ascii="Arial" w:eastAsia="Times New Roman" w:hAnsi="Arial" w:cs="Arial"/>
          <w:sz w:val="20"/>
          <w:szCs w:val="20"/>
          <w:lang w:eastAsia="pt-BR"/>
        </w:rPr>
        <w:t xml:space="preserve"> é o número de dias úteis do período e TIR é a rentabilidade anual do título.</w:t>
      </w:r>
    </w:p>
    <w:p w:rsidR="00B75C56" w:rsidRPr="00581DB4" w:rsidRDefault="00B75C56" w:rsidP="00B75C56">
      <w:pPr>
        <w:spacing w:before="240" w:after="240" w:line="240" w:lineRule="auto"/>
        <w:ind w:left="708"/>
        <w:rPr>
          <w:rFonts w:ascii="Times New Roman" w:eastAsia="Times New Roman" w:hAnsi="Times New Roman" w:cs="Times New Roman"/>
          <w:sz w:val="24"/>
          <w:szCs w:val="24"/>
          <w:lang w:eastAsia="pt-BR"/>
        </w:rPr>
      </w:pPr>
      <w:r w:rsidRPr="00581DB4">
        <w:rPr>
          <w:rFonts w:ascii="Arial" w:eastAsia="Times New Roman" w:hAnsi="Arial" w:cs="Arial"/>
          <w:b/>
          <w:bCs/>
          <w:i/>
          <w:iCs/>
          <w:sz w:val="20"/>
          <w:szCs w:val="20"/>
          <w:lang w:eastAsia="pt-BR"/>
        </w:rPr>
        <w:t>Tesouro IGPM com Juros Semestrais - NTN-C</w:t>
      </w:r>
    </w:p>
    <w:p w:rsidR="00B75C56" w:rsidRPr="00581DB4" w:rsidRDefault="00B75C56" w:rsidP="00581DB4">
      <w:pPr>
        <w:spacing w:before="240" w:after="100" w:afterAutospacing="1" w:line="240" w:lineRule="auto"/>
        <w:jc w:val="both"/>
        <w:rPr>
          <w:rFonts w:ascii="Times New Roman" w:eastAsia="Times New Roman" w:hAnsi="Times New Roman" w:cs="Times New Roman"/>
          <w:sz w:val="24"/>
          <w:szCs w:val="24"/>
          <w:lang w:eastAsia="pt-BR"/>
        </w:rPr>
      </w:pPr>
      <w:r w:rsidRPr="00581DB4">
        <w:rPr>
          <w:rFonts w:ascii="Arial" w:eastAsia="Times New Roman" w:hAnsi="Arial" w:cs="Arial"/>
          <w:sz w:val="20"/>
          <w:szCs w:val="20"/>
          <w:lang w:eastAsia="pt-BR"/>
        </w:rPr>
        <w:t>A NTN-C tem funcionamento parecido com NTN-B, com a diferença no indexador, pois utiliza o IGP-M ao invés de IPCA. Atualmente, as NTN-C não são ofertadas no Tesouro Direto sendo apenas recomprado pelo Tesouro Nacional.</w:t>
      </w:r>
    </w:p>
    <w:p w:rsidR="00B75C56" w:rsidRPr="00581DB4" w:rsidRDefault="00B75C56" w:rsidP="00B75C56">
      <w:pPr>
        <w:spacing w:before="240" w:after="100" w:afterAutospacing="1" w:line="240" w:lineRule="auto"/>
        <w:rPr>
          <w:rFonts w:ascii="Times New Roman" w:eastAsia="Times New Roman" w:hAnsi="Times New Roman" w:cs="Times New Roman"/>
          <w:sz w:val="24"/>
          <w:szCs w:val="24"/>
          <w:lang w:eastAsia="pt-BR"/>
        </w:rPr>
      </w:pPr>
      <w:r w:rsidRPr="00581DB4">
        <w:rPr>
          <w:rFonts w:ascii="Arial" w:eastAsia="Times New Roman" w:hAnsi="Arial" w:cs="Arial"/>
          <w:sz w:val="20"/>
          <w:szCs w:val="20"/>
          <w:lang w:eastAsia="pt-BR"/>
        </w:rPr>
        <w:t>O VNA desse título pode ser calculado pela equação:</w:t>
      </w:r>
    </w:p>
    <w:p w:rsidR="00B75C56" w:rsidRPr="00581DB4" w:rsidRDefault="00B75C56" w:rsidP="00B75C56">
      <w:pPr>
        <w:spacing w:before="240" w:after="100" w:afterAutospacing="1" w:line="240" w:lineRule="auto"/>
        <w:jc w:val="center"/>
        <w:rPr>
          <w:rFonts w:ascii="Times New Roman" w:eastAsia="Times New Roman" w:hAnsi="Times New Roman" w:cs="Times New Roman"/>
          <w:sz w:val="24"/>
          <w:szCs w:val="24"/>
          <w:lang w:eastAsia="pt-BR"/>
        </w:rPr>
      </w:pPr>
      <w:r w:rsidRPr="00581DB4">
        <w:rPr>
          <w:rFonts w:ascii="Cambria Math" w:eastAsia="Times New Roman" w:hAnsi="Cambria Math" w:cs="Times New Roman"/>
          <w:i/>
          <w:iCs/>
          <w:spacing w:val="20"/>
          <w:sz w:val="24"/>
          <w:szCs w:val="24"/>
          <w:lang w:eastAsia="pt-BR"/>
        </w:rPr>
        <w:t xml:space="preserve">VNA = </w:t>
      </w:r>
      <w:proofErr w:type="spellStart"/>
      <w:proofErr w:type="gramStart"/>
      <w:r w:rsidRPr="00581DB4">
        <w:rPr>
          <w:rFonts w:ascii="Cambria Math" w:eastAsia="Times New Roman" w:hAnsi="Cambria Math" w:cs="Times New Roman"/>
          <w:i/>
          <w:iCs/>
          <w:spacing w:val="20"/>
          <w:sz w:val="24"/>
          <w:szCs w:val="24"/>
          <w:lang w:eastAsia="pt-BR"/>
        </w:rPr>
        <w:t>VNA</w:t>
      </w:r>
      <w:r w:rsidRPr="00581DB4">
        <w:rPr>
          <w:rFonts w:ascii="Cambria Math" w:eastAsia="Times New Roman" w:hAnsi="Cambria Math" w:cs="Times New Roman"/>
          <w:i/>
          <w:iCs/>
          <w:spacing w:val="20"/>
          <w:sz w:val="24"/>
          <w:szCs w:val="24"/>
          <w:vertAlign w:val="subscript"/>
          <w:lang w:eastAsia="pt-BR"/>
        </w:rPr>
        <w:t>data</w:t>
      </w:r>
      <w:proofErr w:type="spellEnd"/>
      <w:proofErr w:type="gramEnd"/>
      <w:r w:rsidRPr="00581DB4">
        <w:rPr>
          <w:rFonts w:ascii="Cambria Math" w:eastAsia="Times New Roman" w:hAnsi="Cambria Math" w:cs="Times New Roman"/>
          <w:i/>
          <w:iCs/>
          <w:spacing w:val="20"/>
          <w:sz w:val="24"/>
          <w:szCs w:val="24"/>
          <w:vertAlign w:val="subscript"/>
          <w:lang w:eastAsia="pt-BR"/>
        </w:rPr>
        <w:t xml:space="preserve"> de compra </w:t>
      </w:r>
      <w:r w:rsidRPr="00581DB4">
        <w:rPr>
          <w:rFonts w:ascii="Cambria Math" w:eastAsia="Times New Roman" w:hAnsi="Cambria Math" w:cs="Times New Roman"/>
          <w:i/>
          <w:iCs/>
          <w:spacing w:val="20"/>
          <w:sz w:val="24"/>
          <w:szCs w:val="24"/>
          <w:lang w:eastAsia="pt-BR"/>
        </w:rPr>
        <w:t xml:space="preserve">* </w:t>
      </w:r>
      <w:r w:rsidRPr="00581DB4">
        <w:rPr>
          <w:rFonts w:ascii="Cambria Math" w:eastAsia="Times New Roman" w:hAnsi="Cambria Math" w:cs="Times New Roman"/>
          <w:spacing w:val="20"/>
          <w:sz w:val="24"/>
          <w:szCs w:val="24"/>
          <w:lang w:eastAsia="pt-BR"/>
        </w:rPr>
        <w:t xml:space="preserve">(1 + </w:t>
      </w:r>
      <w:proofErr w:type="spellStart"/>
      <w:r w:rsidRPr="00581DB4">
        <w:rPr>
          <w:rFonts w:ascii="Cambria Math" w:eastAsia="Times New Roman" w:hAnsi="Cambria Math" w:cs="Times New Roman"/>
          <w:i/>
          <w:iCs/>
          <w:spacing w:val="20"/>
          <w:sz w:val="24"/>
          <w:szCs w:val="24"/>
          <w:lang w:eastAsia="pt-BR"/>
        </w:rPr>
        <w:t>IGPM</w:t>
      </w:r>
      <w:r w:rsidRPr="00581DB4">
        <w:rPr>
          <w:rFonts w:ascii="Cambria Math" w:eastAsia="Times New Roman" w:hAnsi="Cambria Math" w:cs="Times New Roman"/>
          <w:i/>
          <w:iCs/>
          <w:spacing w:val="20"/>
          <w:sz w:val="24"/>
          <w:szCs w:val="24"/>
          <w:vertAlign w:val="subscript"/>
          <w:lang w:eastAsia="pt-BR"/>
        </w:rPr>
        <w:t>projetado</w:t>
      </w:r>
      <w:proofErr w:type="spellEnd"/>
      <w:r w:rsidRPr="00581DB4">
        <w:rPr>
          <w:rFonts w:ascii="Cambria Math" w:eastAsia="Times New Roman" w:hAnsi="Cambria Math" w:cs="Times New Roman"/>
          <w:spacing w:val="20"/>
          <w:sz w:val="24"/>
          <w:szCs w:val="24"/>
          <w:lang w:eastAsia="pt-BR"/>
        </w:rPr>
        <w:t>)</w:t>
      </w:r>
      <w:r w:rsidRPr="00581DB4">
        <w:rPr>
          <w:rFonts w:ascii="Cambria Math" w:eastAsia="Times New Roman" w:hAnsi="Cambria Math" w:cs="Times New Roman"/>
          <w:spacing w:val="20"/>
          <w:sz w:val="24"/>
          <w:szCs w:val="24"/>
          <w:vertAlign w:val="superscript"/>
          <w:lang w:eastAsia="pt-BR"/>
        </w:rPr>
        <w:t>N1/N2</w:t>
      </w:r>
    </w:p>
    <w:p w:rsidR="00B75C56" w:rsidRPr="00581DB4" w:rsidRDefault="00B75C56" w:rsidP="00581DB4">
      <w:pPr>
        <w:spacing w:before="240" w:after="100" w:afterAutospacing="1" w:line="240" w:lineRule="auto"/>
        <w:jc w:val="both"/>
        <w:rPr>
          <w:rFonts w:ascii="Times New Roman" w:eastAsia="Times New Roman" w:hAnsi="Times New Roman" w:cs="Times New Roman"/>
          <w:sz w:val="24"/>
          <w:szCs w:val="24"/>
          <w:lang w:eastAsia="pt-BR"/>
        </w:rPr>
      </w:pPr>
      <w:r w:rsidRPr="00581DB4">
        <w:rPr>
          <w:rFonts w:ascii="Arial" w:eastAsia="Times New Roman" w:hAnsi="Arial" w:cs="Arial"/>
          <w:sz w:val="20"/>
          <w:szCs w:val="20"/>
          <w:lang w:eastAsia="pt-BR"/>
        </w:rPr>
        <w:t>Onde N1 representa o número de dias corridos entre data de liquidação e primeiro do mês atual e N2 sendo o número de dias corridos entre o dia primeiro do mês seguinte e o primeiro mês atual.</w:t>
      </w:r>
    </w:p>
    <w:p w:rsidR="00B75C56" w:rsidRPr="00581DB4" w:rsidRDefault="00B75C56" w:rsidP="00581DB4">
      <w:pPr>
        <w:spacing w:before="240" w:after="100" w:afterAutospacing="1" w:line="240" w:lineRule="auto"/>
        <w:jc w:val="both"/>
        <w:rPr>
          <w:rFonts w:ascii="Times New Roman" w:eastAsia="Times New Roman" w:hAnsi="Times New Roman" w:cs="Times New Roman"/>
          <w:sz w:val="24"/>
          <w:szCs w:val="24"/>
          <w:lang w:eastAsia="pt-BR"/>
        </w:rPr>
      </w:pPr>
      <w:r w:rsidRPr="00581DB4">
        <w:rPr>
          <w:rFonts w:ascii="Arial" w:eastAsia="Times New Roman" w:hAnsi="Arial" w:cs="Arial"/>
          <w:sz w:val="20"/>
          <w:szCs w:val="20"/>
          <w:lang w:eastAsia="pt-BR"/>
        </w:rPr>
        <w:t>Como metodologia final de apuração para os Títulos Públicos que apresentam o valor nominal atualizado, finaliza-se a apuração nos seguintes passos:</w:t>
      </w:r>
    </w:p>
    <w:p w:rsidR="00B75C56" w:rsidRPr="00581DB4" w:rsidRDefault="00B75C56" w:rsidP="00B75C56">
      <w:pPr>
        <w:spacing w:before="240" w:after="100" w:afterAutospacing="1" w:line="240" w:lineRule="auto"/>
        <w:rPr>
          <w:rFonts w:ascii="Times New Roman" w:eastAsia="Times New Roman" w:hAnsi="Times New Roman" w:cs="Times New Roman"/>
          <w:sz w:val="24"/>
          <w:szCs w:val="24"/>
          <w:lang w:eastAsia="pt-BR"/>
        </w:rPr>
      </w:pPr>
      <w:r w:rsidRPr="00581DB4">
        <w:rPr>
          <w:rFonts w:ascii="Arial" w:eastAsia="Times New Roman" w:hAnsi="Arial" w:cs="Arial"/>
          <w:sz w:val="20"/>
          <w:szCs w:val="20"/>
          <w:lang w:eastAsia="pt-BR"/>
        </w:rPr>
        <w:t>(i) identificação da cotação:</w:t>
      </w:r>
    </w:p>
    <w:p w:rsidR="00B75C56" w:rsidRPr="00F5506B" w:rsidRDefault="00B75C56" w:rsidP="00B75C56">
      <w:pPr>
        <w:spacing w:before="240" w:after="100" w:afterAutospacing="1" w:line="240" w:lineRule="auto"/>
        <w:rPr>
          <w:rFonts w:ascii="Times New Roman" w:eastAsia="Times New Roman" w:hAnsi="Times New Roman" w:cs="Times New Roman"/>
          <w:sz w:val="24"/>
          <w:szCs w:val="24"/>
          <w:lang w:eastAsia="pt-BR"/>
        </w:rPr>
      </w:pPr>
      <w:r w:rsidRPr="00F5506B">
        <w:rPr>
          <w:rFonts w:ascii="Arial" w:eastAsia="Times New Roman" w:hAnsi="Arial" w:cs="Arial"/>
          <w:sz w:val="20"/>
          <w:szCs w:val="20"/>
          <w:lang w:eastAsia="pt-BR"/>
        </w:rPr>
        <w:t>Onde:</w:t>
      </w:r>
    </w:p>
    <w:p w:rsidR="00B75C56" w:rsidRPr="00F5506B" w:rsidRDefault="00B75C56" w:rsidP="00B75C56">
      <w:pPr>
        <w:spacing w:before="240" w:after="0" w:line="240" w:lineRule="auto"/>
        <w:ind w:left="1134"/>
        <w:rPr>
          <w:rFonts w:ascii="Times New Roman" w:eastAsia="Times New Roman" w:hAnsi="Times New Roman" w:cs="Times New Roman"/>
          <w:sz w:val="24"/>
          <w:szCs w:val="24"/>
          <w:lang w:eastAsia="pt-BR"/>
        </w:rPr>
      </w:pPr>
      <w:r w:rsidRPr="00F5506B">
        <w:rPr>
          <w:rFonts w:ascii="Cambria Math" w:eastAsia="Times New Roman" w:hAnsi="Cambria Math" w:cs="Times New Roman"/>
          <w:i/>
          <w:iCs/>
          <w:spacing w:val="20"/>
          <w:sz w:val="24"/>
          <w:szCs w:val="24"/>
          <w:lang w:eastAsia="pt-BR"/>
        </w:rPr>
        <w:t>Cotação</w:t>
      </w:r>
      <w:r w:rsidRPr="00F5506B">
        <w:rPr>
          <w:rFonts w:ascii="Times New Roman" w:eastAsia="Times New Roman" w:hAnsi="Times New Roman" w:cs="Times New Roman"/>
          <w:sz w:val="24"/>
          <w:szCs w:val="24"/>
          <w:lang w:eastAsia="pt-BR"/>
        </w:rPr>
        <w:t xml:space="preserve"> </w:t>
      </w:r>
      <w:r w:rsidRPr="00F5506B">
        <w:rPr>
          <w:rFonts w:ascii="Arial" w:eastAsia="Times New Roman" w:hAnsi="Arial" w:cs="Arial"/>
          <w:sz w:val="20"/>
          <w:szCs w:val="20"/>
          <w:lang w:eastAsia="pt-BR"/>
        </w:rPr>
        <w:t>= é o valor unitário apresentado em um dia</w:t>
      </w:r>
    </w:p>
    <w:p w:rsidR="00B75C56" w:rsidRPr="00F5506B" w:rsidRDefault="00B75C56" w:rsidP="00B75C56">
      <w:pPr>
        <w:spacing w:before="240" w:after="160" w:line="240" w:lineRule="auto"/>
        <w:ind w:left="1134"/>
        <w:rPr>
          <w:rFonts w:ascii="Times New Roman" w:eastAsia="Times New Roman" w:hAnsi="Times New Roman" w:cs="Times New Roman"/>
          <w:sz w:val="24"/>
          <w:szCs w:val="24"/>
          <w:lang w:eastAsia="pt-BR"/>
        </w:rPr>
      </w:pPr>
      <w:r w:rsidRPr="00F5506B">
        <w:rPr>
          <w:rFonts w:ascii="Cambria Math" w:eastAsia="Times New Roman" w:hAnsi="Cambria Math" w:cs="Times New Roman"/>
          <w:i/>
          <w:iCs/>
          <w:spacing w:val="20"/>
          <w:sz w:val="24"/>
          <w:szCs w:val="24"/>
          <w:lang w:eastAsia="pt-BR"/>
        </w:rPr>
        <w:t>Taxa</w:t>
      </w:r>
      <w:r w:rsidRPr="00F5506B">
        <w:rPr>
          <w:rFonts w:ascii="Times New Roman" w:eastAsia="Times New Roman" w:hAnsi="Times New Roman" w:cs="Times New Roman"/>
          <w:sz w:val="24"/>
          <w:szCs w:val="24"/>
          <w:lang w:eastAsia="pt-BR"/>
        </w:rPr>
        <w:t xml:space="preserve"> </w:t>
      </w:r>
      <w:r w:rsidRPr="00F5506B">
        <w:rPr>
          <w:rFonts w:ascii="Arial" w:eastAsia="Times New Roman" w:hAnsi="Arial" w:cs="Arial"/>
          <w:sz w:val="20"/>
          <w:szCs w:val="20"/>
          <w:lang w:eastAsia="pt-BR"/>
        </w:rPr>
        <w:t>= taxa de negociação ou compra o Título Público Federal</w:t>
      </w:r>
    </w:p>
    <w:p w:rsidR="00B75C56" w:rsidRPr="00F5506B" w:rsidRDefault="00B75C56" w:rsidP="00B75C56">
      <w:pPr>
        <w:spacing w:before="240" w:after="100" w:afterAutospacing="1" w:line="240" w:lineRule="auto"/>
        <w:rPr>
          <w:rFonts w:ascii="Times New Roman" w:eastAsia="Times New Roman" w:hAnsi="Times New Roman" w:cs="Times New Roman"/>
          <w:sz w:val="24"/>
          <w:szCs w:val="24"/>
          <w:lang w:eastAsia="pt-BR"/>
        </w:rPr>
      </w:pPr>
      <w:r w:rsidRPr="00F5506B">
        <w:rPr>
          <w:rFonts w:ascii="Arial" w:eastAsia="Times New Roman" w:hAnsi="Arial" w:cs="Arial"/>
          <w:sz w:val="20"/>
          <w:szCs w:val="20"/>
          <w:lang w:eastAsia="pt-BR"/>
        </w:rPr>
        <w:t>(ii) identificação do preço atual:</w:t>
      </w:r>
    </w:p>
    <w:p w:rsidR="00B75C56" w:rsidRPr="00F5506B" w:rsidRDefault="00B75C56" w:rsidP="00B75C56">
      <w:pPr>
        <w:spacing w:before="240" w:after="100" w:afterAutospacing="1" w:line="240" w:lineRule="auto"/>
        <w:rPr>
          <w:rFonts w:ascii="Times New Roman" w:eastAsia="Times New Roman" w:hAnsi="Times New Roman" w:cs="Times New Roman"/>
          <w:sz w:val="24"/>
          <w:szCs w:val="24"/>
          <w:lang w:eastAsia="pt-BR"/>
        </w:rPr>
      </w:pPr>
      <w:r w:rsidRPr="00F5506B">
        <w:rPr>
          <w:rFonts w:ascii="Arial" w:eastAsia="Times New Roman" w:hAnsi="Arial" w:cs="Arial"/>
          <w:sz w:val="20"/>
          <w:szCs w:val="20"/>
          <w:lang w:eastAsia="pt-BR"/>
        </w:rPr>
        <w:t>Onde:</w:t>
      </w:r>
    </w:p>
    <w:p w:rsidR="00B75C56" w:rsidRPr="00F5506B" w:rsidRDefault="00B75C56" w:rsidP="00B75C56">
      <w:pPr>
        <w:spacing w:before="240" w:after="0" w:line="240" w:lineRule="auto"/>
        <w:ind w:left="1134"/>
        <w:rPr>
          <w:rFonts w:ascii="Times New Roman" w:eastAsia="Times New Roman" w:hAnsi="Times New Roman" w:cs="Times New Roman"/>
          <w:sz w:val="24"/>
          <w:szCs w:val="24"/>
          <w:lang w:eastAsia="pt-BR"/>
        </w:rPr>
      </w:pPr>
      <w:r w:rsidRPr="00F5506B">
        <w:rPr>
          <w:rFonts w:ascii="Cambria Math" w:eastAsia="Times New Roman" w:hAnsi="Cambria Math" w:cs="Times New Roman"/>
          <w:i/>
          <w:iCs/>
          <w:spacing w:val="20"/>
          <w:sz w:val="24"/>
          <w:szCs w:val="24"/>
          <w:lang w:eastAsia="pt-BR"/>
        </w:rPr>
        <w:t>Preço</w:t>
      </w:r>
      <w:proofErr w:type="gramStart"/>
      <w:r w:rsidRPr="00F5506B">
        <w:rPr>
          <w:rFonts w:ascii="Times New Roman" w:eastAsia="Times New Roman" w:hAnsi="Times New Roman" w:cs="Times New Roman"/>
          <w:sz w:val="24"/>
          <w:szCs w:val="24"/>
          <w:lang w:eastAsia="pt-BR"/>
        </w:rPr>
        <w:t xml:space="preserve"> </w:t>
      </w:r>
      <w:r w:rsidRPr="00F5506B">
        <w:rPr>
          <w:rFonts w:ascii="Arial" w:eastAsia="Times New Roman" w:hAnsi="Arial" w:cs="Arial"/>
          <w:sz w:val="20"/>
          <w:szCs w:val="20"/>
          <w:lang w:eastAsia="pt-BR"/>
        </w:rPr>
        <w:t> </w:t>
      </w:r>
      <w:proofErr w:type="gramEnd"/>
      <w:r w:rsidRPr="00F5506B">
        <w:rPr>
          <w:rFonts w:ascii="Arial" w:eastAsia="Times New Roman" w:hAnsi="Arial" w:cs="Arial"/>
          <w:sz w:val="20"/>
          <w:szCs w:val="20"/>
          <w:lang w:eastAsia="pt-BR"/>
        </w:rPr>
        <w:t>=  valor unitário do Título Público Federal</w:t>
      </w:r>
    </w:p>
    <w:p w:rsidR="00B75C56" w:rsidRPr="00F5506B" w:rsidRDefault="00B75C56" w:rsidP="00B75C56">
      <w:pPr>
        <w:spacing w:before="240" w:after="0" w:line="240" w:lineRule="auto"/>
        <w:ind w:left="1134"/>
        <w:rPr>
          <w:rFonts w:ascii="Times New Roman" w:eastAsia="Times New Roman" w:hAnsi="Times New Roman" w:cs="Times New Roman"/>
          <w:sz w:val="24"/>
          <w:szCs w:val="24"/>
          <w:lang w:eastAsia="pt-BR"/>
        </w:rPr>
      </w:pPr>
      <w:r w:rsidRPr="00F5506B">
        <w:rPr>
          <w:rFonts w:ascii="Cambria Math" w:eastAsia="Times New Roman" w:hAnsi="Cambria Math" w:cs="Times New Roman"/>
          <w:i/>
          <w:iCs/>
          <w:spacing w:val="20"/>
          <w:sz w:val="24"/>
          <w:szCs w:val="24"/>
          <w:lang w:eastAsia="pt-BR"/>
        </w:rPr>
        <w:t>VNA</w:t>
      </w:r>
      <w:proofErr w:type="gramStart"/>
      <w:r w:rsidRPr="00F5506B">
        <w:rPr>
          <w:rFonts w:ascii="Times New Roman" w:eastAsia="Times New Roman" w:hAnsi="Times New Roman" w:cs="Times New Roman"/>
          <w:sz w:val="24"/>
          <w:szCs w:val="24"/>
          <w:lang w:eastAsia="pt-BR"/>
        </w:rPr>
        <w:t xml:space="preserve"> </w:t>
      </w:r>
      <w:r w:rsidRPr="00F5506B">
        <w:rPr>
          <w:rFonts w:ascii="Arial" w:eastAsia="Times New Roman" w:hAnsi="Arial" w:cs="Arial"/>
          <w:sz w:val="20"/>
          <w:szCs w:val="20"/>
          <w:lang w:eastAsia="pt-BR"/>
        </w:rPr>
        <w:t> </w:t>
      </w:r>
      <w:proofErr w:type="gramEnd"/>
      <w:r w:rsidRPr="00F5506B">
        <w:rPr>
          <w:rFonts w:ascii="Arial" w:eastAsia="Times New Roman" w:hAnsi="Arial" w:cs="Arial"/>
          <w:sz w:val="20"/>
          <w:szCs w:val="20"/>
          <w:lang w:eastAsia="pt-BR"/>
        </w:rPr>
        <w:t>=  Valor Nominal Atualizado</w:t>
      </w:r>
    </w:p>
    <w:p w:rsidR="00B75C56" w:rsidRPr="00F5506B" w:rsidRDefault="00B75C56" w:rsidP="00B75C56">
      <w:pPr>
        <w:spacing w:before="240" w:after="160" w:line="240" w:lineRule="auto"/>
        <w:ind w:left="1134"/>
        <w:rPr>
          <w:rFonts w:ascii="Times New Roman" w:eastAsia="Times New Roman" w:hAnsi="Times New Roman" w:cs="Times New Roman"/>
          <w:sz w:val="24"/>
          <w:szCs w:val="24"/>
          <w:lang w:eastAsia="pt-BR"/>
        </w:rPr>
      </w:pPr>
      <w:r w:rsidRPr="00F5506B">
        <w:rPr>
          <w:rFonts w:ascii="Cambria Math" w:eastAsia="Times New Roman" w:hAnsi="Cambria Math" w:cs="Times New Roman"/>
          <w:i/>
          <w:iCs/>
          <w:spacing w:val="20"/>
          <w:sz w:val="24"/>
          <w:szCs w:val="24"/>
          <w:lang w:eastAsia="pt-BR"/>
        </w:rPr>
        <w:t>Cotação</w:t>
      </w:r>
      <w:proofErr w:type="gramStart"/>
      <w:r w:rsidRPr="00F5506B">
        <w:rPr>
          <w:rFonts w:ascii="Cambria Math" w:eastAsia="Times New Roman" w:hAnsi="Cambria Math" w:cs="Times New Roman"/>
          <w:i/>
          <w:iCs/>
          <w:spacing w:val="20"/>
          <w:sz w:val="24"/>
          <w:szCs w:val="24"/>
          <w:lang w:eastAsia="pt-BR"/>
        </w:rPr>
        <w:t xml:space="preserve"> </w:t>
      </w:r>
      <w:r w:rsidRPr="00F5506B">
        <w:rPr>
          <w:rFonts w:ascii="Arial" w:eastAsia="Times New Roman" w:hAnsi="Arial" w:cs="Arial"/>
          <w:sz w:val="20"/>
          <w:szCs w:val="20"/>
          <w:lang w:eastAsia="pt-BR"/>
        </w:rPr>
        <w:t> </w:t>
      </w:r>
      <w:proofErr w:type="gramEnd"/>
      <w:r w:rsidRPr="00F5506B">
        <w:rPr>
          <w:rFonts w:ascii="Arial" w:eastAsia="Times New Roman" w:hAnsi="Arial" w:cs="Arial"/>
          <w:sz w:val="20"/>
          <w:szCs w:val="20"/>
          <w:lang w:eastAsia="pt-BR"/>
        </w:rPr>
        <w:t>=  é o valor unitário apresentado em um dia</w:t>
      </w:r>
    </w:p>
    <w:p w:rsidR="00F5506B" w:rsidRPr="00F5506B" w:rsidRDefault="00F5506B" w:rsidP="00B75C56">
      <w:pPr>
        <w:spacing w:before="240" w:after="240" w:line="240" w:lineRule="auto"/>
        <w:ind w:left="1428"/>
        <w:outlineLvl w:val="2"/>
        <w:rPr>
          <w:rFonts w:ascii="Arial" w:eastAsia="Times New Roman" w:hAnsi="Arial" w:cs="Arial"/>
          <w:b/>
          <w:bCs/>
          <w:sz w:val="20"/>
          <w:szCs w:val="20"/>
          <w:lang w:eastAsia="pt-BR"/>
        </w:rPr>
      </w:pPr>
      <w:bookmarkStart w:id="112" w:name="_Toc20130620"/>
    </w:p>
    <w:p w:rsidR="00B75C56" w:rsidRPr="00F5506B" w:rsidRDefault="00B75C56" w:rsidP="00F5506B">
      <w:pPr>
        <w:spacing w:before="240" w:after="240" w:line="240" w:lineRule="auto"/>
        <w:ind w:left="1428" w:hanging="1428"/>
        <w:outlineLvl w:val="2"/>
        <w:rPr>
          <w:rFonts w:ascii="Times New Roman" w:eastAsia="Times New Roman" w:hAnsi="Times New Roman" w:cs="Times New Roman"/>
          <w:b/>
          <w:bCs/>
          <w:lang w:eastAsia="pt-BR"/>
        </w:rPr>
      </w:pPr>
      <w:r w:rsidRPr="00F5506B">
        <w:rPr>
          <w:rFonts w:ascii="Arial" w:eastAsia="Times New Roman" w:hAnsi="Arial" w:cs="Arial"/>
          <w:b/>
          <w:bCs/>
          <w:lang w:eastAsia="pt-BR"/>
        </w:rPr>
        <w:lastRenderedPageBreak/>
        <w:t>11.2.2</w:t>
      </w:r>
      <w:r w:rsidRPr="00F5506B">
        <w:rPr>
          <w:rFonts w:ascii="Times New Roman" w:eastAsia="Times New Roman" w:hAnsi="Times New Roman" w:cs="Times New Roman"/>
          <w:b/>
          <w:bCs/>
          <w:lang w:eastAsia="pt-BR"/>
        </w:rPr>
        <w:t xml:space="preserve">    </w:t>
      </w:r>
      <w:r w:rsidRPr="00F5506B">
        <w:rPr>
          <w:rFonts w:ascii="Arial" w:eastAsia="Times New Roman" w:hAnsi="Arial" w:cs="Arial"/>
          <w:b/>
          <w:bCs/>
          <w:lang w:eastAsia="pt-BR"/>
        </w:rPr>
        <w:t>FUNDOS DE INVESTIMENTOS</w:t>
      </w:r>
      <w:bookmarkEnd w:id="112"/>
    </w:p>
    <w:p w:rsidR="00B75C56" w:rsidRPr="00F5506B" w:rsidRDefault="00B75C56" w:rsidP="00F5506B">
      <w:pPr>
        <w:spacing w:before="240" w:after="100" w:afterAutospacing="1" w:line="240" w:lineRule="auto"/>
        <w:jc w:val="both"/>
        <w:rPr>
          <w:rFonts w:ascii="Times New Roman" w:eastAsia="Times New Roman" w:hAnsi="Times New Roman" w:cs="Times New Roman"/>
          <w:sz w:val="24"/>
          <w:szCs w:val="24"/>
          <w:lang w:eastAsia="pt-BR"/>
        </w:rPr>
      </w:pPr>
      <w:r w:rsidRPr="00F5506B">
        <w:rPr>
          <w:rFonts w:ascii="Arial" w:eastAsia="Times New Roman" w:hAnsi="Arial" w:cs="Arial"/>
          <w:sz w:val="20"/>
          <w:szCs w:val="20"/>
          <w:lang w:eastAsia="pt-BR"/>
        </w:rPr>
        <w:t>A Instrução CVM 555 dispõe sobre a constituição, a administração, o funcionamento e a divulgação de informações dos fundos de investimento.</w:t>
      </w:r>
    </w:p>
    <w:p w:rsidR="00B75C56" w:rsidRPr="00F5506B" w:rsidRDefault="00B75C56" w:rsidP="00F5506B">
      <w:pPr>
        <w:spacing w:before="240" w:after="100" w:afterAutospacing="1" w:line="240" w:lineRule="auto"/>
        <w:jc w:val="both"/>
        <w:rPr>
          <w:rFonts w:ascii="Times New Roman" w:eastAsia="Times New Roman" w:hAnsi="Times New Roman" w:cs="Times New Roman"/>
          <w:sz w:val="24"/>
          <w:szCs w:val="24"/>
          <w:lang w:eastAsia="pt-BR"/>
        </w:rPr>
      </w:pPr>
      <w:r w:rsidRPr="00F5506B">
        <w:rPr>
          <w:rFonts w:ascii="Arial" w:eastAsia="Times New Roman" w:hAnsi="Arial" w:cs="Arial"/>
          <w:sz w:val="20"/>
          <w:szCs w:val="20"/>
          <w:lang w:eastAsia="pt-BR"/>
        </w:rPr>
        <w:t>O investimento em um fundo de investimento, portanto, confere domínio direto sobre fração ideal do patrimônio dado que cada cotista possui propriedade proporcional dos ativos inerentes à composição de cada fundo, sendo inteiramente responsável pelo ônus ou bônus dessa propriedade.</w:t>
      </w:r>
    </w:p>
    <w:p w:rsidR="00B75C56" w:rsidRPr="00F5506B" w:rsidRDefault="00B75C56" w:rsidP="00F5506B">
      <w:pPr>
        <w:spacing w:before="240" w:after="100" w:afterAutospacing="1" w:line="240" w:lineRule="auto"/>
        <w:jc w:val="both"/>
        <w:rPr>
          <w:rFonts w:ascii="Times New Roman" w:eastAsia="Times New Roman" w:hAnsi="Times New Roman" w:cs="Times New Roman"/>
          <w:sz w:val="24"/>
          <w:szCs w:val="24"/>
          <w:lang w:eastAsia="pt-BR"/>
        </w:rPr>
      </w:pPr>
      <w:r w:rsidRPr="00F5506B">
        <w:rPr>
          <w:rFonts w:ascii="Arial" w:eastAsia="Times New Roman" w:hAnsi="Arial" w:cs="Arial"/>
          <w:sz w:val="20"/>
          <w:szCs w:val="20"/>
          <w:lang w:eastAsia="pt-BR"/>
        </w:rPr>
        <w:t>Através de divulgação pública e oficial, calcula-se o retorno do fundo de investimentos auferindo o rendimento do período, multiplicado pelo valor atual. Abaixo segue fórmula:</w:t>
      </w:r>
    </w:p>
    <w:p w:rsidR="00B75C56" w:rsidRPr="00F5506B" w:rsidRDefault="00B75C56" w:rsidP="00B75C56">
      <w:pPr>
        <w:spacing w:before="240" w:after="100" w:afterAutospacing="1" w:line="240" w:lineRule="auto"/>
        <w:rPr>
          <w:rFonts w:ascii="Times New Roman" w:eastAsia="Times New Roman" w:hAnsi="Times New Roman" w:cs="Times New Roman"/>
          <w:sz w:val="24"/>
          <w:szCs w:val="24"/>
          <w:lang w:eastAsia="pt-BR"/>
        </w:rPr>
      </w:pPr>
      <w:r w:rsidRPr="00F5506B">
        <w:rPr>
          <w:rFonts w:ascii="Arial" w:eastAsia="Times New Roman" w:hAnsi="Arial" w:cs="Arial"/>
          <w:sz w:val="20"/>
          <w:szCs w:val="20"/>
          <w:lang w:eastAsia="pt-BR"/>
        </w:rPr>
        <w:t> </w:t>
      </w:r>
    </w:p>
    <w:p w:rsidR="00B75C56" w:rsidRPr="00F5506B" w:rsidRDefault="00B75C56" w:rsidP="00B75C56">
      <w:pPr>
        <w:spacing w:before="240" w:after="100" w:afterAutospacing="1" w:line="240" w:lineRule="auto"/>
        <w:jc w:val="center"/>
        <w:rPr>
          <w:rFonts w:ascii="Times New Roman" w:eastAsia="Times New Roman" w:hAnsi="Times New Roman" w:cs="Times New Roman"/>
          <w:sz w:val="24"/>
          <w:szCs w:val="24"/>
          <w:lang w:eastAsia="pt-BR"/>
        </w:rPr>
      </w:pPr>
      <w:proofErr w:type="gramStart"/>
      <w:r w:rsidRPr="00F5506B">
        <w:rPr>
          <w:rFonts w:ascii="Cambria Math" w:eastAsia="Times New Roman" w:hAnsi="Cambria Math" w:cs="Times New Roman"/>
          <w:i/>
          <w:iCs/>
          <w:spacing w:val="20"/>
          <w:sz w:val="24"/>
          <w:szCs w:val="24"/>
          <w:lang w:eastAsia="pt-BR"/>
        </w:rPr>
        <w:t>retorno</w:t>
      </w:r>
      <w:proofErr w:type="gramEnd"/>
      <w:r w:rsidRPr="00F5506B">
        <w:rPr>
          <w:rFonts w:ascii="Cambria Math" w:eastAsia="Times New Roman" w:hAnsi="Cambria Math" w:cs="Times New Roman"/>
          <w:i/>
          <w:iCs/>
          <w:spacing w:val="20"/>
          <w:sz w:val="24"/>
          <w:szCs w:val="24"/>
          <w:lang w:eastAsia="pt-BR"/>
        </w:rPr>
        <w:t xml:space="preserve"> = </w:t>
      </w:r>
      <w:r w:rsidRPr="00F5506B">
        <w:rPr>
          <w:rFonts w:ascii="Cambria Math" w:eastAsia="Times New Roman" w:hAnsi="Cambria Math" w:cs="Times New Roman"/>
          <w:spacing w:val="20"/>
          <w:sz w:val="24"/>
          <w:szCs w:val="24"/>
          <w:lang w:eastAsia="pt-BR"/>
        </w:rPr>
        <w:t xml:space="preserve">(1 + </w:t>
      </w:r>
      <w:proofErr w:type="spellStart"/>
      <w:r w:rsidRPr="00F5506B">
        <w:rPr>
          <w:rFonts w:ascii="Cambria Math" w:eastAsia="Times New Roman" w:hAnsi="Cambria Math" w:cs="Times New Roman"/>
          <w:i/>
          <w:iCs/>
          <w:spacing w:val="20"/>
          <w:sz w:val="24"/>
          <w:szCs w:val="24"/>
          <w:lang w:eastAsia="pt-BR"/>
        </w:rPr>
        <w:t>S</w:t>
      </w:r>
      <w:r w:rsidRPr="00F5506B">
        <w:rPr>
          <w:rFonts w:ascii="Cambria Math" w:eastAsia="Times New Roman" w:hAnsi="Cambria Math" w:cs="Times New Roman"/>
          <w:i/>
          <w:iCs/>
          <w:spacing w:val="20"/>
          <w:sz w:val="24"/>
          <w:szCs w:val="24"/>
          <w:vertAlign w:val="subscript"/>
          <w:lang w:eastAsia="pt-BR"/>
        </w:rPr>
        <w:t>anterior</w:t>
      </w:r>
      <w:proofErr w:type="spellEnd"/>
      <w:r w:rsidRPr="00F5506B">
        <w:rPr>
          <w:rFonts w:ascii="Cambria Math" w:eastAsia="Times New Roman" w:hAnsi="Cambria Math" w:cs="Times New Roman"/>
          <w:spacing w:val="20"/>
          <w:sz w:val="24"/>
          <w:szCs w:val="24"/>
          <w:lang w:eastAsia="pt-BR"/>
        </w:rPr>
        <w:t xml:space="preserve">) * </w:t>
      </w:r>
      <w:proofErr w:type="spellStart"/>
      <w:r w:rsidRPr="00F5506B">
        <w:rPr>
          <w:rFonts w:ascii="Cambria Math" w:eastAsia="Times New Roman" w:hAnsi="Cambria Math" w:cs="Times New Roman"/>
          <w:i/>
          <w:iCs/>
          <w:spacing w:val="20"/>
          <w:sz w:val="24"/>
          <w:szCs w:val="24"/>
          <w:lang w:eastAsia="pt-BR"/>
        </w:rPr>
        <w:t>Rend</w:t>
      </w:r>
      <w:r w:rsidRPr="00F5506B">
        <w:rPr>
          <w:rFonts w:ascii="Cambria Math" w:eastAsia="Times New Roman" w:hAnsi="Cambria Math" w:cs="Times New Roman"/>
          <w:i/>
          <w:iCs/>
          <w:spacing w:val="20"/>
          <w:sz w:val="24"/>
          <w:szCs w:val="24"/>
          <w:vertAlign w:val="subscript"/>
          <w:lang w:eastAsia="pt-BR"/>
        </w:rPr>
        <w:t>fundo</w:t>
      </w:r>
      <w:proofErr w:type="spellEnd"/>
    </w:p>
    <w:p w:rsidR="00B75C56" w:rsidRPr="00B75C56" w:rsidRDefault="00B75C56" w:rsidP="00B75C56">
      <w:pPr>
        <w:spacing w:before="240" w:after="100" w:afterAutospacing="1" w:line="240" w:lineRule="auto"/>
        <w:rPr>
          <w:rFonts w:ascii="Times New Roman" w:eastAsia="Times New Roman" w:hAnsi="Times New Roman" w:cs="Times New Roman"/>
          <w:color w:val="FF0000"/>
          <w:sz w:val="24"/>
          <w:szCs w:val="24"/>
          <w:lang w:eastAsia="pt-BR"/>
        </w:rPr>
      </w:pPr>
      <w:r w:rsidRPr="00B75C56">
        <w:rPr>
          <w:rFonts w:ascii="Arial" w:eastAsia="Times New Roman" w:hAnsi="Arial" w:cs="Arial"/>
          <w:color w:val="FF0000"/>
          <w:sz w:val="20"/>
          <w:szCs w:val="20"/>
          <w:lang w:eastAsia="pt-BR"/>
        </w:rPr>
        <w:t> </w:t>
      </w:r>
    </w:p>
    <w:p w:rsidR="00B75C56" w:rsidRPr="00F5506B" w:rsidRDefault="00B75C56" w:rsidP="00F5506B">
      <w:pPr>
        <w:spacing w:before="240" w:after="100" w:afterAutospacing="1" w:line="240" w:lineRule="auto"/>
        <w:jc w:val="both"/>
        <w:rPr>
          <w:rFonts w:ascii="Times New Roman" w:eastAsia="Times New Roman" w:hAnsi="Times New Roman" w:cs="Times New Roman"/>
          <w:sz w:val="24"/>
          <w:szCs w:val="24"/>
          <w:lang w:eastAsia="pt-BR"/>
        </w:rPr>
      </w:pPr>
      <w:r w:rsidRPr="00F5506B">
        <w:rPr>
          <w:rFonts w:ascii="Arial" w:eastAsia="Times New Roman" w:hAnsi="Arial" w:cs="Arial"/>
          <w:sz w:val="20"/>
          <w:szCs w:val="20"/>
          <w:lang w:eastAsia="pt-BR"/>
        </w:rPr>
        <w:t>Onde:</w:t>
      </w:r>
    </w:p>
    <w:p w:rsidR="00B75C56" w:rsidRPr="00F5506B" w:rsidRDefault="00B75C56" w:rsidP="00F5506B">
      <w:pPr>
        <w:spacing w:before="240" w:after="100" w:afterAutospacing="1" w:line="240" w:lineRule="auto"/>
        <w:jc w:val="both"/>
        <w:rPr>
          <w:rFonts w:ascii="Times New Roman" w:eastAsia="Times New Roman" w:hAnsi="Times New Roman" w:cs="Times New Roman"/>
          <w:sz w:val="24"/>
          <w:szCs w:val="24"/>
          <w:lang w:eastAsia="pt-BR"/>
        </w:rPr>
      </w:pPr>
      <w:r w:rsidRPr="00F5506B">
        <w:rPr>
          <w:rFonts w:ascii="Arial" w:eastAsia="Times New Roman" w:hAnsi="Arial" w:cs="Arial"/>
          <w:sz w:val="20"/>
          <w:szCs w:val="20"/>
          <w:lang w:eastAsia="pt-BR"/>
        </w:rPr>
        <w:t>Retorno: valor da diferente do montante aportado e o resultado final do período</w:t>
      </w:r>
    </w:p>
    <w:p w:rsidR="00B75C56" w:rsidRPr="00F5506B" w:rsidRDefault="00B75C56" w:rsidP="00F5506B">
      <w:pPr>
        <w:spacing w:before="240" w:after="0" w:line="240" w:lineRule="auto"/>
        <w:ind w:left="1134"/>
        <w:jc w:val="both"/>
        <w:rPr>
          <w:rFonts w:ascii="Times New Roman" w:eastAsia="Times New Roman" w:hAnsi="Times New Roman" w:cs="Times New Roman"/>
          <w:sz w:val="24"/>
          <w:szCs w:val="24"/>
          <w:lang w:eastAsia="pt-BR"/>
        </w:rPr>
      </w:pPr>
      <w:proofErr w:type="spellStart"/>
      <w:proofErr w:type="gramStart"/>
      <w:r w:rsidRPr="00F5506B">
        <w:rPr>
          <w:rFonts w:ascii="Cambria Math" w:eastAsia="Times New Roman" w:hAnsi="Cambria Math" w:cs="Times New Roman"/>
          <w:i/>
          <w:iCs/>
          <w:spacing w:val="20"/>
          <w:sz w:val="24"/>
          <w:szCs w:val="24"/>
          <w:lang w:eastAsia="pt-BR"/>
        </w:rPr>
        <w:t>S</w:t>
      </w:r>
      <w:r w:rsidRPr="00F5506B">
        <w:rPr>
          <w:rFonts w:ascii="Cambria Math" w:eastAsia="Times New Roman" w:hAnsi="Cambria Math" w:cs="Times New Roman"/>
          <w:i/>
          <w:iCs/>
          <w:spacing w:val="20"/>
          <w:sz w:val="24"/>
          <w:szCs w:val="24"/>
          <w:vertAlign w:val="subscript"/>
          <w:lang w:eastAsia="pt-BR"/>
        </w:rPr>
        <w:t>anterior</w:t>
      </w:r>
      <w:proofErr w:type="spellEnd"/>
      <w:r w:rsidRPr="00F5506B">
        <w:rPr>
          <w:rFonts w:ascii="Times New Roman" w:eastAsia="Times New Roman" w:hAnsi="Times New Roman" w:cs="Times New Roman"/>
          <w:sz w:val="24"/>
          <w:szCs w:val="24"/>
          <w:lang w:eastAsia="pt-BR"/>
        </w:rPr>
        <w:t xml:space="preserve"> </w:t>
      </w:r>
      <w:r w:rsidRPr="00F5506B">
        <w:rPr>
          <w:rFonts w:ascii="Arial" w:eastAsia="Times New Roman" w:hAnsi="Arial" w:cs="Arial"/>
          <w:sz w:val="20"/>
          <w:szCs w:val="20"/>
          <w:lang w:eastAsia="pt-BR"/>
        </w:rPr>
        <w:t>:</w:t>
      </w:r>
      <w:proofErr w:type="gramEnd"/>
      <w:r w:rsidRPr="00F5506B">
        <w:rPr>
          <w:rFonts w:ascii="Arial" w:eastAsia="Times New Roman" w:hAnsi="Arial" w:cs="Arial"/>
          <w:sz w:val="20"/>
          <w:szCs w:val="20"/>
          <w:lang w:eastAsia="pt-BR"/>
        </w:rPr>
        <w:t xml:space="preserve"> saldo inicial do investimento</w:t>
      </w:r>
    </w:p>
    <w:p w:rsidR="00B75C56" w:rsidRPr="00F5506B" w:rsidRDefault="00B75C56" w:rsidP="00F5506B">
      <w:pPr>
        <w:spacing w:before="240" w:after="160" w:line="240" w:lineRule="auto"/>
        <w:ind w:left="1134"/>
        <w:jc w:val="both"/>
        <w:rPr>
          <w:rFonts w:ascii="Times New Roman" w:eastAsia="Times New Roman" w:hAnsi="Times New Roman" w:cs="Times New Roman"/>
          <w:sz w:val="24"/>
          <w:szCs w:val="24"/>
          <w:lang w:eastAsia="pt-BR"/>
        </w:rPr>
      </w:pPr>
      <w:proofErr w:type="spellStart"/>
      <w:proofErr w:type="gramStart"/>
      <w:r w:rsidRPr="00F5506B">
        <w:rPr>
          <w:rFonts w:ascii="Cambria Math" w:eastAsia="Times New Roman" w:hAnsi="Cambria Math" w:cs="Times New Roman"/>
          <w:i/>
          <w:iCs/>
          <w:spacing w:val="20"/>
          <w:sz w:val="24"/>
          <w:szCs w:val="24"/>
          <w:lang w:eastAsia="pt-BR"/>
        </w:rPr>
        <w:t>Rend</w:t>
      </w:r>
      <w:r w:rsidRPr="00F5506B">
        <w:rPr>
          <w:rFonts w:ascii="Cambria Math" w:eastAsia="Times New Roman" w:hAnsi="Cambria Math" w:cs="Times New Roman"/>
          <w:i/>
          <w:iCs/>
          <w:spacing w:val="20"/>
          <w:sz w:val="24"/>
          <w:szCs w:val="24"/>
          <w:vertAlign w:val="subscript"/>
          <w:lang w:eastAsia="pt-BR"/>
        </w:rPr>
        <w:t>fundo</w:t>
      </w:r>
      <w:proofErr w:type="spellEnd"/>
      <w:r w:rsidRPr="00F5506B">
        <w:rPr>
          <w:rFonts w:ascii="Times New Roman" w:eastAsia="Times New Roman" w:hAnsi="Times New Roman" w:cs="Times New Roman"/>
          <w:sz w:val="24"/>
          <w:szCs w:val="24"/>
          <w:lang w:eastAsia="pt-BR"/>
        </w:rPr>
        <w:t xml:space="preserve"> </w:t>
      </w:r>
      <w:r w:rsidRPr="00F5506B">
        <w:rPr>
          <w:rFonts w:ascii="Arial" w:eastAsia="Times New Roman" w:hAnsi="Arial" w:cs="Arial"/>
          <w:sz w:val="20"/>
          <w:szCs w:val="20"/>
          <w:lang w:eastAsia="pt-BR"/>
        </w:rPr>
        <w:t>:</w:t>
      </w:r>
      <w:proofErr w:type="gramEnd"/>
      <w:r w:rsidRPr="00F5506B">
        <w:rPr>
          <w:rFonts w:ascii="Arial" w:eastAsia="Times New Roman" w:hAnsi="Arial" w:cs="Arial"/>
          <w:sz w:val="20"/>
          <w:szCs w:val="20"/>
          <w:lang w:eastAsia="pt-BR"/>
        </w:rPr>
        <w:t xml:space="preserve"> rendimento do fundo de investimento em um determinado período (em percentual)</w:t>
      </w:r>
    </w:p>
    <w:p w:rsidR="00B75C56" w:rsidRPr="00F5506B" w:rsidRDefault="00B75C56" w:rsidP="00F5506B">
      <w:pPr>
        <w:spacing w:before="240" w:after="100" w:afterAutospacing="1" w:line="240" w:lineRule="auto"/>
        <w:jc w:val="both"/>
        <w:rPr>
          <w:rFonts w:ascii="Times New Roman" w:eastAsia="Times New Roman" w:hAnsi="Times New Roman" w:cs="Times New Roman"/>
          <w:sz w:val="24"/>
          <w:szCs w:val="24"/>
          <w:lang w:eastAsia="pt-BR"/>
        </w:rPr>
      </w:pPr>
      <w:r w:rsidRPr="00F5506B">
        <w:rPr>
          <w:rFonts w:ascii="Arial" w:eastAsia="Times New Roman" w:hAnsi="Arial" w:cs="Arial"/>
          <w:sz w:val="20"/>
          <w:szCs w:val="20"/>
          <w:lang w:eastAsia="pt-BR"/>
        </w:rPr>
        <w:t xml:space="preserve">Para auferir o valor aportado no fundo de investimento quanto a sua posição em relação </w:t>
      </w:r>
      <w:proofErr w:type="gramStart"/>
      <w:r w:rsidRPr="00F5506B">
        <w:rPr>
          <w:rFonts w:ascii="Arial" w:eastAsia="Times New Roman" w:hAnsi="Arial" w:cs="Arial"/>
          <w:sz w:val="20"/>
          <w:szCs w:val="20"/>
          <w:lang w:eastAsia="pt-BR"/>
        </w:rPr>
        <w:t>a</w:t>
      </w:r>
      <w:proofErr w:type="gramEnd"/>
      <w:r w:rsidRPr="00F5506B">
        <w:rPr>
          <w:rFonts w:ascii="Arial" w:eastAsia="Times New Roman" w:hAnsi="Arial" w:cs="Arial"/>
          <w:sz w:val="20"/>
          <w:szCs w:val="20"/>
          <w:lang w:eastAsia="pt-BR"/>
        </w:rPr>
        <w:t xml:space="preserve"> quantidade de cotas, calcula-se:</w:t>
      </w:r>
    </w:p>
    <w:p w:rsidR="00B75C56" w:rsidRPr="00F5506B" w:rsidRDefault="00B75C56" w:rsidP="00B75C56">
      <w:pPr>
        <w:spacing w:before="240" w:after="100" w:afterAutospacing="1" w:line="240" w:lineRule="auto"/>
        <w:jc w:val="center"/>
        <w:rPr>
          <w:rFonts w:ascii="Times New Roman" w:eastAsia="Times New Roman" w:hAnsi="Times New Roman" w:cs="Times New Roman"/>
          <w:sz w:val="24"/>
          <w:szCs w:val="24"/>
          <w:lang w:eastAsia="pt-BR"/>
        </w:rPr>
      </w:pPr>
      <w:proofErr w:type="spellStart"/>
      <w:r w:rsidRPr="00F5506B">
        <w:rPr>
          <w:rFonts w:ascii="Cambria Math" w:eastAsia="Times New Roman" w:hAnsi="Cambria Math" w:cs="Times New Roman"/>
          <w:i/>
          <w:iCs/>
          <w:spacing w:val="20"/>
          <w:sz w:val="24"/>
          <w:szCs w:val="24"/>
          <w:lang w:eastAsia="pt-BR"/>
        </w:rPr>
        <w:t>V</w:t>
      </w:r>
      <w:r w:rsidRPr="00F5506B">
        <w:rPr>
          <w:rFonts w:ascii="Cambria Math" w:eastAsia="Times New Roman" w:hAnsi="Cambria Math" w:cs="Times New Roman"/>
          <w:i/>
          <w:iCs/>
          <w:spacing w:val="20"/>
          <w:sz w:val="24"/>
          <w:szCs w:val="24"/>
          <w:vertAlign w:val="subscript"/>
          <w:lang w:eastAsia="pt-BR"/>
        </w:rPr>
        <w:t>atual</w:t>
      </w:r>
      <w:proofErr w:type="spellEnd"/>
      <w:r w:rsidRPr="00F5506B">
        <w:rPr>
          <w:rFonts w:ascii="Cambria Math" w:eastAsia="Times New Roman" w:hAnsi="Cambria Math" w:cs="Times New Roman"/>
          <w:i/>
          <w:iCs/>
          <w:spacing w:val="20"/>
          <w:sz w:val="24"/>
          <w:szCs w:val="24"/>
          <w:lang w:eastAsia="pt-BR"/>
        </w:rPr>
        <w:t xml:space="preserve"> </w:t>
      </w:r>
      <w:r w:rsidRPr="00F5506B">
        <w:rPr>
          <w:rFonts w:ascii="Cambria Math" w:eastAsia="Times New Roman" w:hAnsi="Cambria Math" w:cs="Times New Roman"/>
          <w:spacing w:val="20"/>
          <w:sz w:val="24"/>
          <w:szCs w:val="24"/>
          <w:lang w:eastAsia="pt-BR"/>
        </w:rPr>
        <w:t xml:space="preserve">= </w:t>
      </w:r>
      <w:proofErr w:type="spellStart"/>
      <w:r w:rsidRPr="00F5506B">
        <w:rPr>
          <w:rFonts w:ascii="Cambria Math" w:eastAsia="Times New Roman" w:hAnsi="Cambria Math" w:cs="Times New Roman"/>
          <w:i/>
          <w:iCs/>
          <w:spacing w:val="20"/>
          <w:sz w:val="24"/>
          <w:szCs w:val="24"/>
          <w:lang w:eastAsia="pt-BR"/>
        </w:rPr>
        <w:t>V</w:t>
      </w:r>
      <w:r w:rsidRPr="00F5506B">
        <w:rPr>
          <w:rFonts w:ascii="Cambria Math" w:eastAsia="Times New Roman" w:hAnsi="Cambria Math" w:cs="Times New Roman"/>
          <w:i/>
          <w:iCs/>
          <w:spacing w:val="20"/>
          <w:sz w:val="24"/>
          <w:szCs w:val="24"/>
          <w:vertAlign w:val="subscript"/>
          <w:lang w:eastAsia="pt-BR"/>
        </w:rPr>
        <w:t>cota</w:t>
      </w:r>
      <w:proofErr w:type="spellEnd"/>
      <w:r w:rsidRPr="00F5506B">
        <w:rPr>
          <w:rFonts w:ascii="Cambria Math" w:eastAsia="Times New Roman" w:hAnsi="Cambria Math" w:cs="Times New Roman"/>
          <w:spacing w:val="20"/>
          <w:sz w:val="24"/>
          <w:szCs w:val="24"/>
          <w:lang w:eastAsia="pt-BR"/>
        </w:rPr>
        <w:t xml:space="preserve"> * </w:t>
      </w:r>
      <w:proofErr w:type="spellStart"/>
      <w:r w:rsidRPr="00F5506B">
        <w:rPr>
          <w:rFonts w:ascii="Cambria Math" w:eastAsia="Times New Roman" w:hAnsi="Cambria Math" w:cs="Times New Roman"/>
          <w:i/>
          <w:iCs/>
          <w:spacing w:val="20"/>
          <w:sz w:val="24"/>
          <w:szCs w:val="24"/>
          <w:lang w:eastAsia="pt-BR"/>
        </w:rPr>
        <w:t>Qt</w:t>
      </w:r>
      <w:r w:rsidRPr="00F5506B">
        <w:rPr>
          <w:rFonts w:ascii="Cambria Math" w:eastAsia="Times New Roman" w:hAnsi="Cambria Math" w:cs="Times New Roman"/>
          <w:i/>
          <w:iCs/>
          <w:spacing w:val="20"/>
          <w:sz w:val="24"/>
          <w:szCs w:val="24"/>
          <w:vertAlign w:val="subscript"/>
          <w:lang w:eastAsia="pt-BR"/>
        </w:rPr>
        <w:t>cotas</w:t>
      </w:r>
      <w:proofErr w:type="spellEnd"/>
    </w:p>
    <w:p w:rsidR="00B75C56" w:rsidRPr="00F5506B" w:rsidRDefault="00B75C56" w:rsidP="00B75C56">
      <w:pPr>
        <w:spacing w:before="240" w:after="100" w:afterAutospacing="1" w:line="240" w:lineRule="auto"/>
        <w:rPr>
          <w:rFonts w:ascii="Times New Roman" w:eastAsia="Times New Roman" w:hAnsi="Times New Roman" w:cs="Times New Roman"/>
          <w:sz w:val="24"/>
          <w:szCs w:val="24"/>
          <w:lang w:eastAsia="pt-BR"/>
        </w:rPr>
      </w:pPr>
      <w:r w:rsidRPr="00F5506B">
        <w:rPr>
          <w:rFonts w:ascii="Arial" w:eastAsia="Times New Roman" w:hAnsi="Arial" w:cs="Arial"/>
          <w:sz w:val="20"/>
          <w:szCs w:val="20"/>
          <w:lang w:eastAsia="pt-BR"/>
        </w:rPr>
        <w:t>Onde:</w:t>
      </w:r>
    </w:p>
    <w:p w:rsidR="00B75C56" w:rsidRPr="00F5506B" w:rsidRDefault="00B75C56" w:rsidP="00B75C56">
      <w:pPr>
        <w:spacing w:before="240" w:after="0" w:line="240" w:lineRule="auto"/>
        <w:ind w:left="1701"/>
        <w:rPr>
          <w:rFonts w:ascii="Times New Roman" w:eastAsia="Times New Roman" w:hAnsi="Times New Roman" w:cs="Times New Roman"/>
          <w:sz w:val="24"/>
          <w:szCs w:val="24"/>
          <w:lang w:eastAsia="pt-BR"/>
        </w:rPr>
      </w:pPr>
      <w:proofErr w:type="spellStart"/>
      <w:proofErr w:type="gramStart"/>
      <w:r w:rsidRPr="00F5506B">
        <w:rPr>
          <w:rFonts w:ascii="Cambria Math" w:eastAsia="Times New Roman" w:hAnsi="Cambria Math" w:cs="Times New Roman"/>
          <w:i/>
          <w:iCs/>
          <w:spacing w:val="20"/>
          <w:sz w:val="24"/>
          <w:szCs w:val="24"/>
          <w:lang w:eastAsia="pt-BR"/>
        </w:rPr>
        <w:t>V</w:t>
      </w:r>
      <w:r w:rsidRPr="00F5506B">
        <w:rPr>
          <w:rFonts w:ascii="Cambria Math" w:eastAsia="Times New Roman" w:hAnsi="Cambria Math" w:cs="Times New Roman"/>
          <w:i/>
          <w:iCs/>
          <w:spacing w:val="20"/>
          <w:sz w:val="24"/>
          <w:szCs w:val="24"/>
          <w:vertAlign w:val="subscript"/>
          <w:lang w:eastAsia="pt-BR"/>
        </w:rPr>
        <w:t>atual</w:t>
      </w:r>
      <w:proofErr w:type="spellEnd"/>
      <w:r w:rsidRPr="00F5506B">
        <w:rPr>
          <w:rFonts w:ascii="Times New Roman" w:eastAsia="Times New Roman" w:hAnsi="Times New Roman" w:cs="Times New Roman"/>
          <w:sz w:val="24"/>
          <w:szCs w:val="24"/>
          <w:lang w:eastAsia="pt-BR"/>
        </w:rPr>
        <w:t xml:space="preserve"> </w:t>
      </w:r>
      <w:r w:rsidRPr="00F5506B">
        <w:rPr>
          <w:rFonts w:ascii="Arial" w:eastAsia="Times New Roman" w:hAnsi="Arial" w:cs="Arial"/>
          <w:sz w:val="20"/>
          <w:szCs w:val="20"/>
          <w:lang w:eastAsia="pt-BR"/>
        </w:rPr>
        <w:t>:</w:t>
      </w:r>
      <w:proofErr w:type="gramEnd"/>
      <w:r w:rsidRPr="00F5506B">
        <w:rPr>
          <w:rFonts w:ascii="Arial" w:eastAsia="Times New Roman" w:hAnsi="Arial" w:cs="Arial"/>
          <w:sz w:val="20"/>
          <w:szCs w:val="20"/>
          <w:lang w:eastAsia="pt-BR"/>
        </w:rPr>
        <w:t xml:space="preserve"> valor atual do investimento</w:t>
      </w:r>
    </w:p>
    <w:p w:rsidR="00B75C56" w:rsidRPr="00F5506B" w:rsidRDefault="00B75C56" w:rsidP="00B75C56">
      <w:pPr>
        <w:spacing w:before="240" w:after="0" w:line="240" w:lineRule="auto"/>
        <w:ind w:left="1701"/>
        <w:rPr>
          <w:rFonts w:ascii="Times New Roman" w:eastAsia="Times New Roman" w:hAnsi="Times New Roman" w:cs="Times New Roman"/>
          <w:sz w:val="24"/>
          <w:szCs w:val="24"/>
          <w:lang w:eastAsia="pt-BR"/>
        </w:rPr>
      </w:pPr>
      <w:proofErr w:type="spellStart"/>
      <w:proofErr w:type="gramStart"/>
      <w:r w:rsidRPr="00F5506B">
        <w:rPr>
          <w:rFonts w:ascii="Cambria Math" w:eastAsia="Times New Roman" w:hAnsi="Cambria Math" w:cs="Times New Roman"/>
          <w:i/>
          <w:iCs/>
          <w:spacing w:val="20"/>
          <w:sz w:val="24"/>
          <w:szCs w:val="24"/>
          <w:lang w:eastAsia="pt-BR"/>
        </w:rPr>
        <w:t>V</w:t>
      </w:r>
      <w:r w:rsidRPr="00F5506B">
        <w:rPr>
          <w:rFonts w:ascii="Cambria Math" w:eastAsia="Times New Roman" w:hAnsi="Cambria Math" w:cs="Times New Roman"/>
          <w:i/>
          <w:iCs/>
          <w:spacing w:val="20"/>
          <w:sz w:val="24"/>
          <w:szCs w:val="24"/>
          <w:vertAlign w:val="subscript"/>
          <w:lang w:eastAsia="pt-BR"/>
        </w:rPr>
        <w:t>cota</w:t>
      </w:r>
      <w:proofErr w:type="spellEnd"/>
      <w:r w:rsidRPr="00F5506B">
        <w:rPr>
          <w:rFonts w:ascii="Times New Roman" w:eastAsia="Times New Roman" w:hAnsi="Times New Roman" w:cs="Times New Roman"/>
          <w:sz w:val="24"/>
          <w:szCs w:val="24"/>
          <w:lang w:eastAsia="pt-BR"/>
        </w:rPr>
        <w:t xml:space="preserve"> </w:t>
      </w:r>
      <w:r w:rsidRPr="00F5506B">
        <w:rPr>
          <w:rFonts w:ascii="Arial" w:eastAsia="Times New Roman" w:hAnsi="Arial" w:cs="Arial"/>
          <w:sz w:val="20"/>
          <w:szCs w:val="20"/>
          <w:lang w:eastAsia="pt-BR"/>
        </w:rPr>
        <w:t>:</w:t>
      </w:r>
      <w:proofErr w:type="gramEnd"/>
      <w:r w:rsidRPr="00F5506B">
        <w:rPr>
          <w:rFonts w:ascii="Arial" w:eastAsia="Times New Roman" w:hAnsi="Arial" w:cs="Arial"/>
          <w:sz w:val="20"/>
          <w:szCs w:val="20"/>
          <w:lang w:eastAsia="pt-BR"/>
        </w:rPr>
        <w:t xml:space="preserve"> valor da cota no dia</w:t>
      </w:r>
    </w:p>
    <w:p w:rsidR="00B75C56" w:rsidRPr="00F5506B" w:rsidRDefault="00B75C56" w:rsidP="00B75C56">
      <w:pPr>
        <w:spacing w:before="240" w:after="160" w:line="240" w:lineRule="auto"/>
        <w:ind w:left="1701"/>
        <w:rPr>
          <w:rFonts w:ascii="Times New Roman" w:eastAsia="Times New Roman" w:hAnsi="Times New Roman" w:cs="Times New Roman"/>
          <w:sz w:val="24"/>
          <w:szCs w:val="24"/>
          <w:lang w:eastAsia="pt-BR"/>
        </w:rPr>
      </w:pPr>
      <w:proofErr w:type="spellStart"/>
      <w:proofErr w:type="gramStart"/>
      <w:r w:rsidRPr="00F5506B">
        <w:rPr>
          <w:rFonts w:ascii="Cambria Math" w:eastAsia="Times New Roman" w:hAnsi="Cambria Math" w:cs="Times New Roman"/>
          <w:i/>
          <w:iCs/>
          <w:spacing w:val="20"/>
          <w:sz w:val="24"/>
          <w:szCs w:val="24"/>
          <w:lang w:eastAsia="pt-BR"/>
        </w:rPr>
        <w:t>Qt</w:t>
      </w:r>
      <w:r w:rsidRPr="00F5506B">
        <w:rPr>
          <w:rFonts w:ascii="Cambria Math" w:eastAsia="Times New Roman" w:hAnsi="Cambria Math" w:cs="Times New Roman"/>
          <w:i/>
          <w:iCs/>
          <w:spacing w:val="20"/>
          <w:sz w:val="24"/>
          <w:szCs w:val="24"/>
          <w:vertAlign w:val="subscript"/>
          <w:lang w:eastAsia="pt-BR"/>
        </w:rPr>
        <w:t>cotas</w:t>
      </w:r>
      <w:proofErr w:type="spellEnd"/>
      <w:r w:rsidRPr="00F5506B">
        <w:rPr>
          <w:rFonts w:ascii="Times New Roman" w:eastAsia="Times New Roman" w:hAnsi="Times New Roman" w:cs="Times New Roman"/>
          <w:sz w:val="24"/>
          <w:szCs w:val="24"/>
          <w:lang w:eastAsia="pt-BR"/>
        </w:rPr>
        <w:t xml:space="preserve"> </w:t>
      </w:r>
      <w:r w:rsidRPr="00F5506B">
        <w:rPr>
          <w:rFonts w:ascii="Arial" w:eastAsia="Times New Roman" w:hAnsi="Arial" w:cs="Arial"/>
          <w:sz w:val="20"/>
          <w:szCs w:val="20"/>
          <w:lang w:eastAsia="pt-BR"/>
        </w:rPr>
        <w:t>:</w:t>
      </w:r>
      <w:proofErr w:type="gramEnd"/>
      <w:r w:rsidRPr="00F5506B">
        <w:rPr>
          <w:rFonts w:ascii="Arial" w:eastAsia="Times New Roman" w:hAnsi="Arial" w:cs="Arial"/>
          <w:sz w:val="20"/>
          <w:szCs w:val="20"/>
          <w:lang w:eastAsia="pt-BR"/>
        </w:rPr>
        <w:t xml:space="preserve"> quantidade de cotas adquiridas mediante aporte no fundo de investimento</w:t>
      </w:r>
    </w:p>
    <w:p w:rsidR="00B75C56" w:rsidRPr="00F5506B" w:rsidRDefault="00B75C56" w:rsidP="00F5506B">
      <w:pPr>
        <w:spacing w:before="240" w:after="100" w:afterAutospacing="1" w:line="240" w:lineRule="auto"/>
        <w:jc w:val="both"/>
        <w:rPr>
          <w:rFonts w:ascii="Times New Roman" w:eastAsia="Times New Roman" w:hAnsi="Times New Roman" w:cs="Times New Roman"/>
          <w:sz w:val="24"/>
          <w:szCs w:val="24"/>
          <w:lang w:eastAsia="pt-BR"/>
        </w:rPr>
      </w:pPr>
      <w:r w:rsidRPr="00F5506B">
        <w:rPr>
          <w:rFonts w:ascii="Arial" w:eastAsia="Times New Roman" w:hAnsi="Arial" w:cs="Arial"/>
          <w:sz w:val="20"/>
          <w:szCs w:val="20"/>
          <w:lang w:eastAsia="pt-BR"/>
        </w:rPr>
        <w:t xml:space="preserve">Em caso de fundos de investimento imobiliários (FII), onde consta ao menos uma negociação de compra e venda no mercado secundário através de seu </w:t>
      </w:r>
      <w:proofErr w:type="spellStart"/>
      <w:r w:rsidRPr="00F5506B">
        <w:rPr>
          <w:rFonts w:ascii="Arial" w:eastAsia="Times New Roman" w:hAnsi="Arial" w:cs="Arial"/>
          <w:i/>
          <w:iCs/>
          <w:sz w:val="20"/>
          <w:szCs w:val="20"/>
          <w:lang w:eastAsia="pt-BR"/>
        </w:rPr>
        <w:t>ticker</w:t>
      </w:r>
      <w:proofErr w:type="spellEnd"/>
      <w:r w:rsidRPr="00F5506B">
        <w:rPr>
          <w:rFonts w:ascii="Arial" w:eastAsia="Times New Roman" w:hAnsi="Arial" w:cs="Arial"/>
          <w:i/>
          <w:iCs/>
          <w:sz w:val="20"/>
          <w:szCs w:val="20"/>
          <w:lang w:eastAsia="pt-BR"/>
        </w:rPr>
        <w:t xml:space="preserve">; </w:t>
      </w:r>
      <w:r w:rsidRPr="00F5506B">
        <w:rPr>
          <w:rFonts w:ascii="Arial" w:eastAsia="Times New Roman" w:hAnsi="Arial" w:cs="Arial"/>
          <w:sz w:val="20"/>
          <w:szCs w:val="20"/>
          <w:lang w:eastAsia="pt-BR"/>
        </w:rPr>
        <w:t xml:space="preserve">esse será calculado através do valor de mercado divulgado no site do </w:t>
      </w:r>
      <w:proofErr w:type="spellStart"/>
      <w:r w:rsidRPr="00F5506B">
        <w:rPr>
          <w:rFonts w:ascii="Arial" w:eastAsia="Times New Roman" w:hAnsi="Arial" w:cs="Arial"/>
          <w:sz w:val="20"/>
          <w:szCs w:val="20"/>
          <w:lang w:eastAsia="pt-BR"/>
        </w:rPr>
        <w:t>BM&amp;FBOVESPA</w:t>
      </w:r>
      <w:proofErr w:type="spellEnd"/>
      <w:r w:rsidRPr="00F5506B">
        <w:rPr>
          <w:rFonts w:ascii="Arial" w:eastAsia="Times New Roman" w:hAnsi="Arial" w:cs="Arial"/>
          <w:sz w:val="20"/>
          <w:szCs w:val="20"/>
          <w:lang w:eastAsia="pt-BR"/>
        </w:rPr>
        <w:t>; caso contrário, será calculado a valor de cota, através de divulgado no site da Comissão de Valores Mobiliários - CVM.</w:t>
      </w:r>
    </w:p>
    <w:p w:rsidR="00B75C56" w:rsidRPr="00F5506B" w:rsidRDefault="00B75C56" w:rsidP="00F5506B">
      <w:pPr>
        <w:spacing w:before="240" w:after="240" w:line="240" w:lineRule="auto"/>
        <w:ind w:left="1428" w:hanging="1428"/>
        <w:outlineLvl w:val="2"/>
        <w:rPr>
          <w:rFonts w:ascii="Times New Roman" w:eastAsia="Times New Roman" w:hAnsi="Times New Roman" w:cs="Times New Roman"/>
          <w:b/>
          <w:bCs/>
          <w:lang w:eastAsia="pt-BR"/>
        </w:rPr>
      </w:pPr>
      <w:bookmarkStart w:id="113" w:name="_Toc20130621"/>
      <w:r w:rsidRPr="00F5506B">
        <w:rPr>
          <w:rFonts w:ascii="Arial" w:eastAsia="Times New Roman" w:hAnsi="Arial" w:cs="Arial"/>
          <w:b/>
          <w:bCs/>
          <w:lang w:eastAsia="pt-BR"/>
        </w:rPr>
        <w:t>11.2.3</w:t>
      </w:r>
      <w:r w:rsidRPr="00F5506B">
        <w:rPr>
          <w:rFonts w:ascii="Times New Roman" w:eastAsia="Times New Roman" w:hAnsi="Times New Roman" w:cs="Times New Roman"/>
          <w:b/>
          <w:bCs/>
          <w:lang w:eastAsia="pt-BR"/>
        </w:rPr>
        <w:t xml:space="preserve">    </w:t>
      </w:r>
      <w:r w:rsidRPr="00F5506B">
        <w:rPr>
          <w:rFonts w:ascii="Arial" w:eastAsia="Times New Roman" w:hAnsi="Arial" w:cs="Arial"/>
          <w:b/>
          <w:bCs/>
          <w:lang w:eastAsia="pt-BR"/>
        </w:rPr>
        <w:t>TÍTULOS PRIVADOS</w:t>
      </w:r>
      <w:bookmarkEnd w:id="113"/>
    </w:p>
    <w:p w:rsidR="00B75C56" w:rsidRPr="00F5506B" w:rsidRDefault="00B75C56" w:rsidP="00F5506B">
      <w:pPr>
        <w:spacing w:before="240" w:after="100" w:afterAutospacing="1" w:line="240" w:lineRule="auto"/>
        <w:jc w:val="both"/>
        <w:rPr>
          <w:rFonts w:ascii="Times New Roman" w:eastAsia="Times New Roman" w:hAnsi="Times New Roman" w:cs="Times New Roman"/>
          <w:sz w:val="24"/>
          <w:szCs w:val="24"/>
          <w:lang w:eastAsia="pt-BR"/>
        </w:rPr>
      </w:pPr>
      <w:r w:rsidRPr="00F5506B">
        <w:rPr>
          <w:rFonts w:ascii="Arial" w:eastAsia="Times New Roman" w:hAnsi="Arial" w:cs="Arial"/>
          <w:sz w:val="20"/>
          <w:szCs w:val="20"/>
          <w:lang w:eastAsia="pt-BR"/>
        </w:rPr>
        <w:t>Título privados são títulos emitidos por empresas privadas visando à captação de recursos.</w:t>
      </w:r>
    </w:p>
    <w:p w:rsidR="00B75C56" w:rsidRPr="00F5506B" w:rsidRDefault="00B75C56" w:rsidP="00F5506B">
      <w:pPr>
        <w:spacing w:before="240" w:after="100" w:afterAutospacing="1" w:line="240" w:lineRule="auto"/>
        <w:jc w:val="both"/>
        <w:rPr>
          <w:rFonts w:ascii="Times New Roman" w:eastAsia="Times New Roman" w:hAnsi="Times New Roman" w:cs="Times New Roman"/>
          <w:sz w:val="24"/>
          <w:szCs w:val="24"/>
          <w:lang w:eastAsia="pt-BR"/>
        </w:rPr>
      </w:pPr>
      <w:r w:rsidRPr="00F5506B">
        <w:rPr>
          <w:rFonts w:ascii="Arial" w:eastAsia="Times New Roman" w:hAnsi="Arial" w:cs="Arial"/>
          <w:sz w:val="20"/>
          <w:szCs w:val="20"/>
          <w:lang w:eastAsia="pt-BR"/>
        </w:rPr>
        <w:t>As operações compromissadas lastreadas em títulos públicos são operações de compra (venda) com compromisso de revenda (recompra). Na partida da operação são definidas a taxa de remuneração e a data de vencimento da operação. Para as operações compromissadas sem liquidez diária, a</w:t>
      </w:r>
      <w:r w:rsidRPr="00B75C56">
        <w:rPr>
          <w:rFonts w:ascii="Arial" w:eastAsia="Times New Roman" w:hAnsi="Arial" w:cs="Arial"/>
          <w:color w:val="FF0000"/>
          <w:sz w:val="20"/>
          <w:szCs w:val="20"/>
          <w:lang w:eastAsia="pt-BR"/>
        </w:rPr>
        <w:t xml:space="preserve"> </w:t>
      </w:r>
      <w:r w:rsidRPr="00F5506B">
        <w:rPr>
          <w:rFonts w:ascii="Arial" w:eastAsia="Times New Roman" w:hAnsi="Arial" w:cs="Arial"/>
          <w:sz w:val="20"/>
          <w:szCs w:val="20"/>
          <w:lang w:eastAsia="pt-BR"/>
        </w:rPr>
        <w:lastRenderedPageBreak/>
        <w:t xml:space="preserve">marcação a mercado será em acordo com as taxas praticadas pelo emissor para o prazo do título e, adicionalmente, um </w:t>
      </w:r>
      <w:r w:rsidRPr="00F5506B">
        <w:rPr>
          <w:rFonts w:ascii="Arial" w:eastAsia="Times New Roman" w:hAnsi="Arial" w:cs="Arial"/>
          <w:i/>
          <w:iCs/>
          <w:sz w:val="20"/>
          <w:szCs w:val="20"/>
          <w:lang w:eastAsia="pt-BR"/>
        </w:rPr>
        <w:t>spread</w:t>
      </w:r>
      <w:r w:rsidRPr="00F5506B">
        <w:rPr>
          <w:rFonts w:ascii="Arial" w:eastAsia="Times New Roman" w:hAnsi="Arial" w:cs="Arial"/>
          <w:sz w:val="20"/>
          <w:szCs w:val="20"/>
          <w:lang w:eastAsia="pt-BR"/>
        </w:rPr>
        <w:t xml:space="preserve"> da natureza da operação. Para as operações compromissadas negociadas com liquidez diária, a marcação a mercado será realizada com base na taxa de revenda/recompra na data.</w:t>
      </w:r>
    </w:p>
    <w:p w:rsidR="00B75C56" w:rsidRPr="00F5506B" w:rsidRDefault="00B75C56" w:rsidP="00F5506B">
      <w:pPr>
        <w:spacing w:before="240" w:after="100" w:afterAutospacing="1" w:line="240" w:lineRule="auto"/>
        <w:jc w:val="both"/>
        <w:rPr>
          <w:rFonts w:ascii="Times New Roman" w:eastAsia="Times New Roman" w:hAnsi="Times New Roman" w:cs="Times New Roman"/>
          <w:sz w:val="24"/>
          <w:szCs w:val="24"/>
          <w:lang w:eastAsia="pt-BR"/>
        </w:rPr>
      </w:pPr>
      <w:r w:rsidRPr="00F5506B">
        <w:rPr>
          <w:rFonts w:ascii="Arial" w:eastAsia="Times New Roman" w:hAnsi="Arial" w:cs="Arial"/>
          <w:sz w:val="20"/>
          <w:szCs w:val="20"/>
          <w:lang w:eastAsia="pt-BR"/>
        </w:rPr>
        <w:t>Os certificados de depósito bancário (CDBs) são instrumentos de captação de recursos utilizados por instituições financeiras, os quais pagam ao aplicador, ao final do prazo contratado, a remuneração prevista, que em geral é flutuante ou pré-fixada, podendo ser emitidos e registrados na CETIP.</w:t>
      </w:r>
    </w:p>
    <w:p w:rsidR="00B75C56" w:rsidRPr="00F5506B" w:rsidRDefault="00B75C56" w:rsidP="00F5506B">
      <w:pPr>
        <w:spacing w:before="240" w:after="100" w:afterAutospacing="1" w:line="240" w:lineRule="auto"/>
        <w:jc w:val="both"/>
        <w:rPr>
          <w:rFonts w:ascii="Times New Roman" w:eastAsia="Times New Roman" w:hAnsi="Times New Roman" w:cs="Times New Roman"/>
          <w:sz w:val="24"/>
          <w:szCs w:val="24"/>
          <w:lang w:eastAsia="pt-BR"/>
        </w:rPr>
      </w:pPr>
      <w:r w:rsidRPr="00F5506B">
        <w:rPr>
          <w:rFonts w:ascii="Arial" w:eastAsia="Times New Roman" w:hAnsi="Arial" w:cs="Arial"/>
          <w:sz w:val="20"/>
          <w:szCs w:val="20"/>
          <w:lang w:eastAsia="pt-BR"/>
        </w:rPr>
        <w:t xml:space="preserve">Os CDBs pré-fixados são títulos negociados com ágio/deságio em relação à curva de juros em reais. A marcação do CDB é realizada descontando o seu valor futuro pela taxa pré-fixada de mercado acrescida do </w:t>
      </w:r>
      <w:r w:rsidRPr="00F5506B">
        <w:rPr>
          <w:rFonts w:ascii="Arial" w:eastAsia="Times New Roman" w:hAnsi="Arial" w:cs="Arial"/>
          <w:i/>
          <w:iCs/>
          <w:sz w:val="20"/>
          <w:szCs w:val="20"/>
          <w:lang w:eastAsia="pt-BR"/>
        </w:rPr>
        <w:t>spread</w:t>
      </w:r>
      <w:r w:rsidRPr="00F5506B">
        <w:rPr>
          <w:rFonts w:ascii="Arial" w:eastAsia="Times New Roman" w:hAnsi="Arial" w:cs="Arial"/>
          <w:sz w:val="20"/>
          <w:szCs w:val="20"/>
          <w:lang w:eastAsia="pt-BR"/>
        </w:rPr>
        <w:t xml:space="preserve"> definido de acordo com as bandas de taxas referentes ao prazo da operação e </w:t>
      </w:r>
      <w:proofErr w:type="spellStart"/>
      <w:r w:rsidRPr="00F5506B">
        <w:rPr>
          <w:rFonts w:ascii="Arial" w:eastAsia="Times New Roman" w:hAnsi="Arial" w:cs="Arial"/>
          <w:sz w:val="20"/>
          <w:szCs w:val="20"/>
          <w:lang w:eastAsia="pt-BR"/>
        </w:rPr>
        <w:t>rating</w:t>
      </w:r>
      <w:proofErr w:type="spellEnd"/>
      <w:r w:rsidRPr="00F5506B">
        <w:rPr>
          <w:rFonts w:ascii="Arial" w:eastAsia="Times New Roman" w:hAnsi="Arial" w:cs="Arial"/>
          <w:sz w:val="20"/>
          <w:szCs w:val="20"/>
          <w:lang w:eastAsia="pt-BR"/>
        </w:rPr>
        <w:t xml:space="preserve"> do emissor.</w:t>
      </w:r>
    </w:p>
    <w:p w:rsidR="00B75C56" w:rsidRPr="00F5506B" w:rsidRDefault="00B75C56" w:rsidP="00F5506B">
      <w:pPr>
        <w:spacing w:before="240" w:after="100" w:afterAutospacing="1" w:line="240" w:lineRule="auto"/>
        <w:jc w:val="both"/>
        <w:rPr>
          <w:rFonts w:ascii="Times New Roman" w:eastAsia="Times New Roman" w:hAnsi="Times New Roman" w:cs="Times New Roman"/>
          <w:sz w:val="24"/>
          <w:szCs w:val="24"/>
          <w:lang w:eastAsia="pt-BR"/>
        </w:rPr>
      </w:pPr>
      <w:r w:rsidRPr="00F5506B">
        <w:rPr>
          <w:rFonts w:ascii="Arial" w:eastAsia="Times New Roman" w:hAnsi="Arial" w:cs="Arial"/>
          <w:sz w:val="20"/>
          <w:szCs w:val="20"/>
          <w:lang w:eastAsia="pt-BR"/>
        </w:rPr>
        <w:t xml:space="preserve">Os CDBs pós-fixados são títulos atualizados diariamente pelo CDI, ou seja, pela taxa de juros baseada na taxa média dos depósitos interbancários de um dia, calculada e divulgada pela CETIP. Geralmente, o CDI é acrescido de uma taxa ou por percentual </w:t>
      </w:r>
      <w:r w:rsidRPr="00F5506B">
        <w:rPr>
          <w:rFonts w:ascii="Arial" w:eastAsia="Times New Roman" w:hAnsi="Arial" w:cs="Arial"/>
          <w:i/>
          <w:iCs/>
          <w:sz w:val="20"/>
          <w:szCs w:val="20"/>
          <w:lang w:eastAsia="pt-BR"/>
        </w:rPr>
        <w:t>spread</w:t>
      </w:r>
      <w:r w:rsidRPr="00F5506B">
        <w:rPr>
          <w:rFonts w:ascii="Arial" w:eastAsia="Times New Roman" w:hAnsi="Arial" w:cs="Arial"/>
          <w:sz w:val="20"/>
          <w:szCs w:val="20"/>
          <w:lang w:eastAsia="pt-BR"/>
        </w:rPr>
        <w:t xml:space="preserve"> contratado na data de emissão do papel. A marcação do CDB é realizada descontando o seu valor futuro projetado pela taxa pré-fixada de mercado acrescida do spread definido de acordo com as faixas de taxas em vigor.</w:t>
      </w:r>
    </w:p>
    <w:p w:rsidR="00B75C56" w:rsidRPr="00F5506B" w:rsidRDefault="00B75C56" w:rsidP="00F5506B">
      <w:pPr>
        <w:spacing w:before="240" w:after="240" w:line="240" w:lineRule="auto"/>
        <w:ind w:left="1428" w:hanging="1428"/>
        <w:outlineLvl w:val="2"/>
        <w:rPr>
          <w:rFonts w:ascii="Times New Roman" w:eastAsia="Times New Roman" w:hAnsi="Times New Roman" w:cs="Times New Roman"/>
          <w:b/>
          <w:bCs/>
          <w:lang w:eastAsia="pt-BR"/>
        </w:rPr>
      </w:pPr>
      <w:bookmarkStart w:id="114" w:name="_Toc20130622"/>
      <w:r w:rsidRPr="00F5506B">
        <w:rPr>
          <w:rFonts w:ascii="Arial" w:eastAsia="Times New Roman" w:hAnsi="Arial" w:cs="Arial"/>
          <w:b/>
          <w:bCs/>
          <w:lang w:eastAsia="pt-BR"/>
        </w:rPr>
        <w:t>11.2.4</w:t>
      </w:r>
      <w:r w:rsidRPr="00F5506B">
        <w:rPr>
          <w:rFonts w:ascii="Times New Roman" w:eastAsia="Times New Roman" w:hAnsi="Times New Roman" w:cs="Times New Roman"/>
          <w:b/>
          <w:bCs/>
          <w:lang w:eastAsia="pt-BR"/>
        </w:rPr>
        <w:t xml:space="preserve">    </w:t>
      </w:r>
      <w:r w:rsidRPr="00F5506B">
        <w:rPr>
          <w:rFonts w:ascii="Arial" w:eastAsia="Times New Roman" w:hAnsi="Arial" w:cs="Arial"/>
          <w:b/>
          <w:bCs/>
          <w:lang w:eastAsia="pt-BR"/>
        </w:rPr>
        <w:t>POUPANÇA</w:t>
      </w:r>
      <w:bookmarkEnd w:id="114"/>
    </w:p>
    <w:p w:rsidR="00B75C56" w:rsidRPr="00F5506B" w:rsidRDefault="00B75C56" w:rsidP="00F5506B">
      <w:pPr>
        <w:spacing w:before="240" w:after="240" w:line="240" w:lineRule="auto"/>
        <w:jc w:val="both"/>
        <w:rPr>
          <w:rFonts w:ascii="Times New Roman" w:eastAsia="Times New Roman" w:hAnsi="Times New Roman" w:cs="Times New Roman"/>
          <w:sz w:val="24"/>
          <w:szCs w:val="24"/>
          <w:lang w:eastAsia="pt-BR"/>
        </w:rPr>
      </w:pPr>
      <w:r w:rsidRPr="00F5506B">
        <w:rPr>
          <w:rFonts w:ascii="Arial" w:eastAsia="Times New Roman" w:hAnsi="Arial" w:cs="Arial"/>
          <w:sz w:val="20"/>
          <w:szCs w:val="20"/>
          <w:lang w:eastAsia="pt-BR"/>
        </w:rPr>
        <w:t xml:space="preserve">Para método de apuração para os investimentos em depósitos de poupança, calcula-se a taxa referencial usada no dia do depósito. Se a </w:t>
      </w:r>
      <w:proofErr w:type="spellStart"/>
      <w:r w:rsidRPr="00F5506B">
        <w:rPr>
          <w:rFonts w:ascii="Arial" w:eastAsia="Times New Roman" w:hAnsi="Arial" w:cs="Arial"/>
          <w:sz w:val="20"/>
          <w:szCs w:val="20"/>
          <w:lang w:eastAsia="pt-BR"/>
        </w:rPr>
        <w:t>Selic</w:t>
      </w:r>
      <w:proofErr w:type="spellEnd"/>
      <w:r w:rsidRPr="00F5506B">
        <w:rPr>
          <w:rFonts w:ascii="Arial" w:eastAsia="Times New Roman" w:hAnsi="Arial" w:cs="Arial"/>
          <w:sz w:val="20"/>
          <w:szCs w:val="20"/>
          <w:lang w:eastAsia="pt-BR"/>
        </w:rPr>
        <w:t xml:space="preserve"> estiver em 8,5% ao ano ou menos do que isso, a poupança irá render 70% da </w:t>
      </w:r>
      <w:proofErr w:type="spellStart"/>
      <w:r w:rsidRPr="00F5506B">
        <w:rPr>
          <w:rFonts w:ascii="Arial" w:eastAsia="Times New Roman" w:hAnsi="Arial" w:cs="Arial"/>
          <w:sz w:val="20"/>
          <w:szCs w:val="20"/>
          <w:lang w:eastAsia="pt-BR"/>
        </w:rPr>
        <w:t>Selic</w:t>
      </w:r>
      <w:proofErr w:type="spellEnd"/>
      <w:r w:rsidRPr="00F5506B">
        <w:rPr>
          <w:rFonts w:ascii="Arial" w:eastAsia="Times New Roman" w:hAnsi="Arial" w:cs="Arial"/>
          <w:sz w:val="20"/>
          <w:szCs w:val="20"/>
          <w:lang w:eastAsia="pt-BR"/>
        </w:rPr>
        <w:t xml:space="preserve"> mais a TR. Já no caso da </w:t>
      </w:r>
      <w:proofErr w:type="spellStart"/>
      <w:r w:rsidRPr="00F5506B">
        <w:rPr>
          <w:rFonts w:ascii="Arial" w:eastAsia="Times New Roman" w:hAnsi="Arial" w:cs="Arial"/>
          <w:sz w:val="20"/>
          <w:szCs w:val="20"/>
          <w:lang w:eastAsia="pt-BR"/>
        </w:rPr>
        <w:t>Selic</w:t>
      </w:r>
      <w:proofErr w:type="spellEnd"/>
      <w:r w:rsidRPr="00F5506B">
        <w:rPr>
          <w:rFonts w:ascii="Arial" w:eastAsia="Times New Roman" w:hAnsi="Arial" w:cs="Arial"/>
          <w:sz w:val="20"/>
          <w:szCs w:val="20"/>
          <w:lang w:eastAsia="pt-BR"/>
        </w:rPr>
        <w:t xml:space="preserve"> ficar acima de 8,5% ao ano, a rentabilidade é </w:t>
      </w:r>
      <w:proofErr w:type="gramStart"/>
      <w:r w:rsidRPr="00F5506B">
        <w:rPr>
          <w:rFonts w:ascii="Arial" w:eastAsia="Times New Roman" w:hAnsi="Arial" w:cs="Arial"/>
          <w:sz w:val="20"/>
          <w:szCs w:val="20"/>
          <w:lang w:eastAsia="pt-BR"/>
        </w:rPr>
        <w:t>composta</w:t>
      </w:r>
      <w:proofErr w:type="gramEnd"/>
      <w:r w:rsidRPr="00F5506B">
        <w:rPr>
          <w:rFonts w:ascii="Arial" w:eastAsia="Times New Roman" w:hAnsi="Arial" w:cs="Arial"/>
          <w:sz w:val="20"/>
          <w:szCs w:val="20"/>
          <w:lang w:eastAsia="pt-BR"/>
        </w:rPr>
        <w:t xml:space="preserve"> pela TR mais 0,5% ao mês.</w:t>
      </w:r>
    </w:p>
    <w:p w:rsidR="00B75C56" w:rsidRPr="00F5506B" w:rsidRDefault="00B75C56" w:rsidP="00B75C56">
      <w:pPr>
        <w:spacing w:before="100" w:beforeAutospacing="1" w:after="100" w:afterAutospacing="1" w:line="240" w:lineRule="auto"/>
        <w:outlineLvl w:val="1"/>
        <w:rPr>
          <w:rFonts w:ascii="Arial" w:eastAsia="Times New Roman" w:hAnsi="Arial" w:cs="Arial"/>
          <w:b/>
          <w:bCs/>
          <w:lang w:eastAsia="pt-BR"/>
        </w:rPr>
      </w:pPr>
      <w:bookmarkStart w:id="115" w:name="_Toc20130623"/>
      <w:r w:rsidRPr="00F5506B">
        <w:rPr>
          <w:rFonts w:ascii="Arial" w:eastAsia="Times New Roman" w:hAnsi="Arial" w:cs="Arial"/>
          <w:b/>
          <w:bCs/>
          <w:lang w:eastAsia="pt-BR"/>
        </w:rPr>
        <w:t>11.3    FONTES PRIMÁRIAS DE INFORMAÇÕES</w:t>
      </w:r>
      <w:bookmarkEnd w:id="115"/>
    </w:p>
    <w:p w:rsidR="00B75C56" w:rsidRPr="00F5506B" w:rsidRDefault="00B75C56" w:rsidP="00F5506B">
      <w:pPr>
        <w:spacing w:before="240" w:after="100" w:afterAutospacing="1" w:line="240" w:lineRule="auto"/>
        <w:jc w:val="both"/>
        <w:rPr>
          <w:rFonts w:ascii="Times New Roman" w:eastAsia="Times New Roman" w:hAnsi="Times New Roman" w:cs="Times New Roman"/>
          <w:sz w:val="24"/>
          <w:szCs w:val="24"/>
          <w:lang w:eastAsia="pt-BR"/>
        </w:rPr>
      </w:pPr>
      <w:r w:rsidRPr="00F5506B">
        <w:rPr>
          <w:rFonts w:ascii="Arial" w:eastAsia="Times New Roman" w:hAnsi="Arial" w:cs="Arial"/>
          <w:sz w:val="20"/>
          <w:szCs w:val="20"/>
          <w:lang w:eastAsia="pt-BR"/>
        </w:rPr>
        <w:t>Como os procedimentos de marcação a mercado são diários, como norma e sempre que possível, adotam-se preços e cotações das seguintes fontes:</w:t>
      </w:r>
    </w:p>
    <w:p w:rsidR="00B75C56" w:rsidRPr="00F5506B" w:rsidRDefault="00B75C56" w:rsidP="00F5506B">
      <w:pPr>
        <w:spacing w:before="240" w:after="100" w:afterAutospacing="1" w:line="240" w:lineRule="auto"/>
        <w:ind w:hanging="360"/>
        <w:jc w:val="both"/>
        <w:rPr>
          <w:rFonts w:ascii="Times New Roman" w:eastAsia="Times New Roman" w:hAnsi="Times New Roman" w:cs="Times New Roman"/>
          <w:sz w:val="24"/>
          <w:szCs w:val="24"/>
          <w:lang w:eastAsia="pt-BR"/>
        </w:rPr>
      </w:pPr>
      <w:r w:rsidRPr="00F5506B">
        <w:rPr>
          <w:rFonts w:ascii="Symbol" w:eastAsia="Times New Roman" w:hAnsi="Symbol" w:cs="Times New Roman"/>
          <w:sz w:val="20"/>
          <w:szCs w:val="20"/>
          <w:lang w:eastAsia="pt-BR"/>
        </w:rPr>
        <w:t></w:t>
      </w:r>
      <w:r w:rsidRPr="00F5506B">
        <w:rPr>
          <w:rFonts w:ascii="Times New Roman" w:eastAsia="Times New Roman" w:hAnsi="Times New Roman" w:cs="Times New Roman"/>
          <w:sz w:val="14"/>
          <w:szCs w:val="14"/>
          <w:lang w:eastAsia="pt-BR"/>
        </w:rPr>
        <w:t xml:space="preserve">         </w:t>
      </w:r>
      <w:r w:rsidRPr="00F5506B">
        <w:rPr>
          <w:rFonts w:ascii="Arial" w:eastAsia="Times New Roman" w:hAnsi="Arial" w:cs="Arial"/>
          <w:sz w:val="20"/>
          <w:szCs w:val="20"/>
          <w:lang w:eastAsia="pt-BR"/>
        </w:rPr>
        <w:t xml:space="preserve">Títulos Públicos Federais e </w:t>
      </w:r>
      <w:proofErr w:type="spellStart"/>
      <w:r w:rsidRPr="00F5506B">
        <w:rPr>
          <w:rFonts w:ascii="Arial" w:eastAsia="Times New Roman" w:hAnsi="Arial" w:cs="Arial"/>
          <w:sz w:val="20"/>
          <w:szCs w:val="20"/>
          <w:lang w:eastAsia="pt-BR"/>
        </w:rPr>
        <w:t>debentures</w:t>
      </w:r>
      <w:proofErr w:type="spellEnd"/>
      <w:r w:rsidRPr="00F5506B">
        <w:rPr>
          <w:rFonts w:ascii="Arial" w:eastAsia="Times New Roman" w:hAnsi="Arial" w:cs="Arial"/>
          <w:sz w:val="20"/>
          <w:szCs w:val="20"/>
          <w:lang w:eastAsia="pt-BR"/>
        </w:rPr>
        <w:t>: Taxas Indicativas da ANBIMA - Associação Brasileira das Entidades dos Mercados Financeiros e de Capitais (</w:t>
      </w:r>
      <w:proofErr w:type="gramStart"/>
      <w:r w:rsidRPr="00F5506B">
        <w:rPr>
          <w:rFonts w:ascii="Arial" w:eastAsia="Times New Roman" w:hAnsi="Arial" w:cs="Arial"/>
          <w:sz w:val="20"/>
          <w:szCs w:val="20"/>
          <w:lang w:eastAsia="pt-BR"/>
        </w:rPr>
        <w:t>https</w:t>
      </w:r>
      <w:proofErr w:type="gramEnd"/>
      <w:r w:rsidRPr="00F5506B">
        <w:rPr>
          <w:rFonts w:ascii="Arial" w:eastAsia="Times New Roman" w:hAnsi="Arial" w:cs="Arial"/>
          <w:sz w:val="20"/>
          <w:szCs w:val="20"/>
          <w:lang w:eastAsia="pt-BR"/>
        </w:rPr>
        <w:t>://www.anbima.com.br/pt_br/informar/taxas-de-titulos-publicos.htm);</w:t>
      </w:r>
    </w:p>
    <w:p w:rsidR="00B75C56" w:rsidRPr="00F5506B" w:rsidRDefault="00B75C56" w:rsidP="00F5506B">
      <w:pPr>
        <w:spacing w:before="240" w:after="100" w:afterAutospacing="1" w:line="240" w:lineRule="auto"/>
        <w:ind w:hanging="360"/>
        <w:jc w:val="both"/>
        <w:rPr>
          <w:rFonts w:ascii="Times New Roman" w:eastAsia="Times New Roman" w:hAnsi="Times New Roman" w:cs="Times New Roman"/>
          <w:sz w:val="24"/>
          <w:szCs w:val="24"/>
          <w:lang w:eastAsia="pt-BR"/>
        </w:rPr>
      </w:pPr>
      <w:r w:rsidRPr="00F5506B">
        <w:rPr>
          <w:rFonts w:ascii="Symbol" w:eastAsia="Times New Roman" w:hAnsi="Symbol" w:cs="Times New Roman"/>
          <w:sz w:val="20"/>
          <w:szCs w:val="20"/>
          <w:lang w:eastAsia="pt-BR"/>
        </w:rPr>
        <w:t></w:t>
      </w:r>
      <w:r w:rsidRPr="00F5506B">
        <w:rPr>
          <w:rFonts w:ascii="Times New Roman" w:eastAsia="Times New Roman" w:hAnsi="Times New Roman" w:cs="Times New Roman"/>
          <w:sz w:val="14"/>
          <w:szCs w:val="14"/>
          <w:lang w:eastAsia="pt-BR"/>
        </w:rPr>
        <w:t xml:space="preserve">         </w:t>
      </w:r>
      <w:r w:rsidRPr="00F5506B">
        <w:rPr>
          <w:rFonts w:ascii="Arial" w:eastAsia="Times New Roman" w:hAnsi="Arial" w:cs="Arial"/>
          <w:sz w:val="20"/>
          <w:szCs w:val="20"/>
          <w:lang w:eastAsia="pt-BR"/>
        </w:rPr>
        <w:t>Cotas de fundos de investimentos: Comissão de Valores Mobiliários - CVM (http://www.cvm.gov.br/);</w:t>
      </w:r>
    </w:p>
    <w:p w:rsidR="00B75C56" w:rsidRPr="00F5506B" w:rsidRDefault="00B75C56" w:rsidP="00F5506B">
      <w:pPr>
        <w:spacing w:before="240" w:after="100" w:afterAutospacing="1" w:line="240" w:lineRule="auto"/>
        <w:ind w:hanging="360"/>
        <w:jc w:val="both"/>
        <w:rPr>
          <w:rFonts w:ascii="Times New Roman" w:eastAsia="Times New Roman" w:hAnsi="Times New Roman" w:cs="Times New Roman"/>
          <w:sz w:val="24"/>
          <w:szCs w:val="24"/>
          <w:lang w:eastAsia="pt-BR"/>
        </w:rPr>
      </w:pPr>
      <w:r w:rsidRPr="00F5506B">
        <w:rPr>
          <w:rFonts w:ascii="Symbol" w:eastAsia="Times New Roman" w:hAnsi="Symbol" w:cs="Times New Roman"/>
          <w:sz w:val="20"/>
          <w:szCs w:val="20"/>
          <w:lang w:eastAsia="pt-BR"/>
        </w:rPr>
        <w:t></w:t>
      </w:r>
      <w:r w:rsidRPr="00F5506B">
        <w:rPr>
          <w:rFonts w:ascii="Times New Roman" w:eastAsia="Times New Roman" w:hAnsi="Times New Roman" w:cs="Times New Roman"/>
          <w:sz w:val="14"/>
          <w:szCs w:val="14"/>
          <w:lang w:eastAsia="pt-BR"/>
        </w:rPr>
        <w:t xml:space="preserve">         </w:t>
      </w:r>
      <w:r w:rsidRPr="00F5506B">
        <w:rPr>
          <w:rFonts w:ascii="Arial" w:eastAsia="Times New Roman" w:hAnsi="Arial" w:cs="Arial"/>
          <w:sz w:val="20"/>
          <w:szCs w:val="20"/>
          <w:lang w:eastAsia="pt-BR"/>
        </w:rPr>
        <w:t>Valor Nominal Atualizado: Valor Nominal Atualizado ANBIMA - Associação Brasileira das Entidades dos Mercados Financeiros e de Capitais (</w:t>
      </w:r>
      <w:proofErr w:type="gramStart"/>
      <w:r w:rsidRPr="00F5506B">
        <w:rPr>
          <w:rFonts w:ascii="Arial" w:eastAsia="Times New Roman" w:hAnsi="Arial" w:cs="Arial"/>
          <w:sz w:val="20"/>
          <w:szCs w:val="20"/>
          <w:lang w:eastAsia="pt-BR"/>
        </w:rPr>
        <w:t>https</w:t>
      </w:r>
      <w:proofErr w:type="gramEnd"/>
      <w:r w:rsidRPr="00F5506B">
        <w:rPr>
          <w:rFonts w:ascii="Arial" w:eastAsia="Times New Roman" w:hAnsi="Arial" w:cs="Arial"/>
          <w:sz w:val="20"/>
          <w:szCs w:val="20"/>
          <w:lang w:eastAsia="pt-BR"/>
        </w:rPr>
        <w:t>://www.anbima.com.br/pt_br/informar/valor-nominal-atualizado.htm)</w:t>
      </w:r>
    </w:p>
    <w:p w:rsidR="00B75C56" w:rsidRPr="00F5506B" w:rsidRDefault="00B75C56" w:rsidP="00F5506B">
      <w:pPr>
        <w:spacing w:before="240" w:after="100" w:afterAutospacing="1" w:line="240" w:lineRule="auto"/>
        <w:ind w:hanging="360"/>
        <w:jc w:val="both"/>
        <w:rPr>
          <w:rFonts w:ascii="Times New Roman" w:eastAsia="Times New Roman" w:hAnsi="Times New Roman" w:cs="Times New Roman"/>
          <w:sz w:val="24"/>
          <w:szCs w:val="24"/>
          <w:lang w:eastAsia="pt-BR"/>
        </w:rPr>
      </w:pPr>
      <w:r w:rsidRPr="00F5506B">
        <w:rPr>
          <w:rFonts w:ascii="Symbol" w:eastAsia="Times New Roman" w:hAnsi="Symbol" w:cs="Times New Roman"/>
          <w:sz w:val="20"/>
          <w:szCs w:val="20"/>
          <w:lang w:eastAsia="pt-BR"/>
        </w:rPr>
        <w:t></w:t>
      </w:r>
      <w:r w:rsidRPr="00F5506B">
        <w:rPr>
          <w:rFonts w:ascii="Times New Roman" w:eastAsia="Times New Roman" w:hAnsi="Times New Roman" w:cs="Times New Roman"/>
          <w:sz w:val="14"/>
          <w:szCs w:val="14"/>
          <w:lang w:eastAsia="pt-BR"/>
        </w:rPr>
        <w:t xml:space="preserve">         </w:t>
      </w:r>
      <w:r w:rsidRPr="00F5506B">
        <w:rPr>
          <w:rFonts w:ascii="Arial" w:eastAsia="Times New Roman" w:hAnsi="Arial" w:cs="Arial"/>
          <w:sz w:val="20"/>
          <w:szCs w:val="20"/>
          <w:lang w:eastAsia="pt-BR"/>
        </w:rPr>
        <w:t xml:space="preserve">Ações, opções sobre ações líquidas e termo de ações: </w:t>
      </w:r>
      <w:proofErr w:type="spellStart"/>
      <w:r w:rsidRPr="00F5506B">
        <w:rPr>
          <w:rFonts w:ascii="Arial" w:eastAsia="Times New Roman" w:hAnsi="Arial" w:cs="Arial"/>
          <w:sz w:val="20"/>
          <w:szCs w:val="20"/>
          <w:lang w:eastAsia="pt-BR"/>
        </w:rPr>
        <w:t>BM&amp;FBOVESPA</w:t>
      </w:r>
      <w:proofErr w:type="spellEnd"/>
      <w:r w:rsidRPr="00F5506B">
        <w:rPr>
          <w:rFonts w:ascii="Arial" w:eastAsia="Times New Roman" w:hAnsi="Arial" w:cs="Arial"/>
          <w:sz w:val="20"/>
          <w:szCs w:val="20"/>
          <w:lang w:eastAsia="pt-BR"/>
        </w:rPr>
        <w:t xml:space="preserve"> (http://www.b3.com.br/pt_br/produtos-e-servicos/negociacao/renda-variavel/acoes.htm); e</w:t>
      </w:r>
    </w:p>
    <w:p w:rsidR="00B75C56" w:rsidRPr="00F5506B" w:rsidRDefault="00B75C56" w:rsidP="00F5506B">
      <w:pPr>
        <w:spacing w:before="240" w:after="100" w:afterAutospacing="1" w:line="240" w:lineRule="auto"/>
        <w:ind w:hanging="360"/>
        <w:jc w:val="both"/>
        <w:rPr>
          <w:rFonts w:ascii="Times New Roman" w:eastAsia="Times New Roman" w:hAnsi="Times New Roman" w:cs="Times New Roman"/>
          <w:sz w:val="24"/>
          <w:szCs w:val="24"/>
          <w:lang w:eastAsia="pt-BR"/>
        </w:rPr>
      </w:pPr>
      <w:r w:rsidRPr="00F5506B">
        <w:rPr>
          <w:rFonts w:ascii="Symbol" w:eastAsia="Times New Roman" w:hAnsi="Symbol" w:cs="Times New Roman"/>
          <w:sz w:val="20"/>
          <w:szCs w:val="20"/>
          <w:lang w:eastAsia="pt-BR"/>
        </w:rPr>
        <w:t></w:t>
      </w:r>
      <w:r w:rsidRPr="00F5506B">
        <w:rPr>
          <w:rFonts w:ascii="Times New Roman" w:eastAsia="Times New Roman" w:hAnsi="Times New Roman" w:cs="Times New Roman"/>
          <w:sz w:val="14"/>
          <w:szCs w:val="14"/>
          <w:lang w:eastAsia="pt-BR"/>
        </w:rPr>
        <w:t xml:space="preserve">         </w:t>
      </w:r>
      <w:r w:rsidRPr="00F5506B">
        <w:rPr>
          <w:rFonts w:ascii="Arial" w:eastAsia="Times New Roman" w:hAnsi="Arial" w:cs="Arial"/>
          <w:sz w:val="20"/>
          <w:szCs w:val="20"/>
          <w:lang w:eastAsia="pt-BR"/>
        </w:rPr>
        <w:t>Certificado de Depósito Bancário - CDB: CETIP (</w:t>
      </w:r>
      <w:proofErr w:type="gramStart"/>
      <w:r w:rsidRPr="00F5506B">
        <w:rPr>
          <w:rFonts w:ascii="Arial" w:eastAsia="Times New Roman" w:hAnsi="Arial" w:cs="Arial"/>
          <w:sz w:val="20"/>
          <w:szCs w:val="20"/>
          <w:lang w:eastAsia="pt-BR"/>
        </w:rPr>
        <w:t>https</w:t>
      </w:r>
      <w:proofErr w:type="gramEnd"/>
      <w:r w:rsidRPr="00F5506B">
        <w:rPr>
          <w:rFonts w:ascii="Arial" w:eastAsia="Times New Roman" w:hAnsi="Arial" w:cs="Arial"/>
          <w:sz w:val="20"/>
          <w:szCs w:val="20"/>
          <w:lang w:eastAsia="pt-BR"/>
        </w:rPr>
        <w:t>://www.cetip.com.br/).</w:t>
      </w:r>
    </w:p>
    <w:p w:rsidR="00B75C56" w:rsidRPr="00B75C56" w:rsidRDefault="00B75C56" w:rsidP="00B75C56">
      <w:pPr>
        <w:spacing w:before="240" w:after="100" w:afterAutospacing="1" w:line="240" w:lineRule="auto"/>
        <w:rPr>
          <w:rFonts w:ascii="Times New Roman" w:eastAsia="Times New Roman" w:hAnsi="Times New Roman" w:cs="Times New Roman"/>
          <w:color w:val="FF0000"/>
          <w:sz w:val="24"/>
          <w:szCs w:val="24"/>
          <w:lang w:eastAsia="pt-BR"/>
        </w:rPr>
      </w:pPr>
      <w:r w:rsidRPr="00B75C56">
        <w:rPr>
          <w:rFonts w:ascii="Arial" w:eastAsia="Times New Roman" w:hAnsi="Arial" w:cs="Arial"/>
          <w:color w:val="FF0000"/>
          <w:sz w:val="20"/>
          <w:szCs w:val="20"/>
          <w:lang w:eastAsia="pt-BR"/>
        </w:rPr>
        <w:t> </w:t>
      </w:r>
    </w:p>
    <w:p w:rsidR="00B75C56" w:rsidRPr="00F5506B" w:rsidRDefault="00B75C56" w:rsidP="00F5506B">
      <w:pPr>
        <w:spacing w:before="240" w:after="100" w:afterAutospacing="1" w:line="240" w:lineRule="auto"/>
        <w:rPr>
          <w:rFonts w:ascii="Times New Roman" w:eastAsia="Times New Roman" w:hAnsi="Times New Roman" w:cs="Times New Roman"/>
          <w:b/>
          <w:bCs/>
          <w:kern w:val="36"/>
          <w:sz w:val="48"/>
          <w:szCs w:val="48"/>
          <w:lang w:eastAsia="pt-BR"/>
        </w:rPr>
      </w:pPr>
      <w:r w:rsidRPr="00F5506B">
        <w:rPr>
          <w:rFonts w:ascii="Arial" w:eastAsia="Times New Roman" w:hAnsi="Arial" w:cs="Arial"/>
          <w:sz w:val="20"/>
          <w:szCs w:val="20"/>
          <w:lang w:eastAsia="pt-BR"/>
        </w:rPr>
        <w:t> </w:t>
      </w:r>
      <w:bookmarkStart w:id="116" w:name="_Toc20130624"/>
      <w:r w:rsidRPr="00F5506B">
        <w:rPr>
          <w:rFonts w:ascii="Arial" w:eastAsia="Times New Roman" w:hAnsi="Arial" w:cs="Arial"/>
          <w:b/>
          <w:bCs/>
          <w:kern w:val="36"/>
          <w:lang w:eastAsia="pt-BR"/>
        </w:rPr>
        <w:t>12</w:t>
      </w:r>
      <w:r w:rsidRPr="00F5506B">
        <w:rPr>
          <w:rFonts w:ascii="Times New Roman" w:eastAsia="Times New Roman" w:hAnsi="Times New Roman" w:cs="Times New Roman"/>
          <w:b/>
          <w:bCs/>
          <w:kern w:val="36"/>
          <w:sz w:val="14"/>
          <w:szCs w:val="14"/>
          <w:lang w:eastAsia="pt-BR"/>
        </w:rPr>
        <w:t xml:space="preserve">     </w:t>
      </w:r>
      <w:r w:rsidRPr="00F5506B">
        <w:rPr>
          <w:rFonts w:ascii="Arial" w:eastAsia="Times New Roman" w:hAnsi="Arial" w:cs="Arial"/>
          <w:b/>
          <w:bCs/>
          <w:kern w:val="36"/>
          <w:lang w:eastAsia="pt-BR"/>
        </w:rPr>
        <w:t>POLÍTICA DE ACOMPANHAMENTO E AVALIAÇÃO</w:t>
      </w:r>
      <w:bookmarkEnd w:id="116"/>
    </w:p>
    <w:p w:rsidR="00B75C56" w:rsidRPr="00F5506B" w:rsidRDefault="00B75C56" w:rsidP="00F5506B">
      <w:pPr>
        <w:spacing w:before="240" w:after="100" w:afterAutospacing="1" w:line="240" w:lineRule="auto"/>
        <w:jc w:val="both"/>
        <w:rPr>
          <w:rFonts w:ascii="Times New Roman" w:eastAsia="Times New Roman" w:hAnsi="Times New Roman" w:cs="Times New Roman"/>
          <w:sz w:val="24"/>
          <w:szCs w:val="24"/>
          <w:lang w:eastAsia="pt-BR"/>
        </w:rPr>
      </w:pPr>
      <w:r w:rsidRPr="00F5506B">
        <w:rPr>
          <w:rFonts w:ascii="Arial" w:eastAsia="Times New Roman" w:hAnsi="Arial" w:cs="Arial"/>
          <w:sz w:val="20"/>
          <w:szCs w:val="20"/>
          <w:lang w:eastAsia="pt-BR"/>
        </w:rPr>
        <w:t>Para o acompanhamento e avaliação da carteira de investimento, dos fundos de investimentos que a contemplam e seus resultados, adicionalmente serão adotados metodologias e critérios que atendam conjuntamente as normativas expedidas pelos órgãos reguladores.</w:t>
      </w:r>
    </w:p>
    <w:p w:rsidR="00B75C56" w:rsidRPr="00F5506B" w:rsidRDefault="00B75C56" w:rsidP="00F5506B">
      <w:pPr>
        <w:spacing w:before="240" w:after="100" w:afterAutospacing="1" w:line="240" w:lineRule="auto"/>
        <w:jc w:val="both"/>
        <w:rPr>
          <w:rFonts w:ascii="Times New Roman" w:eastAsia="Times New Roman" w:hAnsi="Times New Roman" w:cs="Times New Roman"/>
          <w:sz w:val="24"/>
          <w:szCs w:val="24"/>
          <w:lang w:eastAsia="pt-BR"/>
        </w:rPr>
      </w:pPr>
      <w:r w:rsidRPr="00F5506B">
        <w:rPr>
          <w:rFonts w:ascii="Arial" w:eastAsia="Times New Roman" w:hAnsi="Arial" w:cs="Arial"/>
          <w:sz w:val="20"/>
          <w:szCs w:val="20"/>
          <w:lang w:eastAsia="pt-BR"/>
        </w:rPr>
        <w:lastRenderedPageBreak/>
        <w:t xml:space="preserve">Como forma de acompanhamento, será </w:t>
      </w:r>
      <w:proofErr w:type="gramStart"/>
      <w:r w:rsidRPr="00F5506B">
        <w:rPr>
          <w:rFonts w:ascii="Arial" w:eastAsia="Times New Roman" w:hAnsi="Arial" w:cs="Arial"/>
          <w:sz w:val="20"/>
          <w:szCs w:val="20"/>
          <w:lang w:eastAsia="pt-BR"/>
        </w:rPr>
        <w:t>admitido a elaboração de relatórios mensais, acompanhados de parecer avaliativo do Comitê de Investimentos, que contemple no mínimo informações</w:t>
      </w:r>
      <w:proofErr w:type="gramEnd"/>
      <w:r w:rsidRPr="00F5506B">
        <w:rPr>
          <w:rFonts w:ascii="Arial" w:eastAsia="Times New Roman" w:hAnsi="Arial" w:cs="Arial"/>
          <w:sz w:val="20"/>
          <w:szCs w:val="20"/>
          <w:lang w:eastAsia="pt-BR"/>
        </w:rPr>
        <w:t xml:space="preserve"> sobre a rentabilidade e dos riscos das diversas modalidades de operações realizadas na aplicação dos recursos do </w:t>
      </w:r>
      <w:r w:rsidRPr="00F5506B">
        <w:rPr>
          <w:rFonts w:ascii="Arial" w:eastAsia="Times New Roman" w:hAnsi="Arial" w:cs="Arial"/>
          <w:b/>
          <w:bCs/>
          <w:sz w:val="20"/>
          <w:szCs w:val="20"/>
          <w:lang w:eastAsia="pt-BR"/>
        </w:rPr>
        <w:t>FUNDO MUNICIPAL DE APOSENTADORIA E PENSÃO DE FERNÃO</w:t>
      </w:r>
      <w:r w:rsidRPr="00F5506B">
        <w:rPr>
          <w:rFonts w:ascii="Arial" w:eastAsia="Times New Roman" w:hAnsi="Arial" w:cs="Arial"/>
          <w:sz w:val="20"/>
          <w:szCs w:val="20"/>
          <w:lang w:eastAsia="pt-BR"/>
        </w:rPr>
        <w:t xml:space="preserve"> e da aderência das alocações e processos decisórios de investimentos.</w:t>
      </w:r>
    </w:p>
    <w:p w:rsidR="00B75C56" w:rsidRPr="00F5506B" w:rsidRDefault="00B75C56" w:rsidP="00F5506B">
      <w:pPr>
        <w:spacing w:before="240" w:after="100" w:afterAutospacing="1" w:line="240" w:lineRule="auto"/>
        <w:jc w:val="both"/>
        <w:rPr>
          <w:rFonts w:ascii="Times New Roman" w:eastAsia="Times New Roman" w:hAnsi="Times New Roman" w:cs="Times New Roman"/>
          <w:sz w:val="24"/>
          <w:szCs w:val="24"/>
          <w:lang w:eastAsia="pt-BR"/>
        </w:rPr>
      </w:pPr>
      <w:r w:rsidRPr="00F5506B">
        <w:rPr>
          <w:rFonts w:ascii="Arial" w:eastAsia="Times New Roman" w:hAnsi="Arial" w:cs="Arial"/>
          <w:sz w:val="20"/>
          <w:szCs w:val="20"/>
          <w:lang w:eastAsia="pt-BR"/>
        </w:rPr>
        <w:t>Os pareceres emitidos pelo Comitê de Investimentos deverão apresentar no mínimo o plano de ação com o cronograma das atividades a serem desempenhadas relativas à gestão dos recursos. Com a emissão dos pareceres avaliativos e a elaboração do plano de ação, o mesmo deverá ser aprovado pelo órgão deliberativo.</w:t>
      </w:r>
    </w:p>
    <w:p w:rsidR="00B75C56" w:rsidRPr="00F5506B" w:rsidRDefault="00B75C56" w:rsidP="00F5506B">
      <w:pPr>
        <w:spacing w:before="240" w:after="100" w:afterAutospacing="1" w:line="240" w:lineRule="auto"/>
        <w:jc w:val="both"/>
        <w:rPr>
          <w:rFonts w:ascii="Times New Roman" w:eastAsia="Times New Roman" w:hAnsi="Times New Roman" w:cs="Times New Roman"/>
          <w:sz w:val="24"/>
          <w:szCs w:val="24"/>
          <w:lang w:eastAsia="pt-BR"/>
        </w:rPr>
      </w:pPr>
      <w:r w:rsidRPr="00F5506B">
        <w:rPr>
          <w:rFonts w:ascii="Arial" w:eastAsia="Times New Roman" w:hAnsi="Arial" w:cs="Arial"/>
          <w:sz w:val="20"/>
          <w:szCs w:val="20"/>
          <w:lang w:eastAsia="pt-BR"/>
        </w:rPr>
        <w:t>Deverão fazer parte dos documentos do processo de acompanhamento e avaliação:</w:t>
      </w:r>
    </w:p>
    <w:p w:rsidR="00B75C56" w:rsidRPr="00F5506B" w:rsidRDefault="00B75C56" w:rsidP="00F5506B">
      <w:pPr>
        <w:spacing w:before="240" w:after="100" w:afterAutospacing="1" w:line="240" w:lineRule="auto"/>
        <w:jc w:val="both"/>
        <w:rPr>
          <w:rFonts w:ascii="Times New Roman" w:eastAsia="Times New Roman" w:hAnsi="Times New Roman" w:cs="Times New Roman"/>
          <w:sz w:val="24"/>
          <w:szCs w:val="24"/>
          <w:lang w:eastAsia="pt-BR"/>
        </w:rPr>
      </w:pPr>
      <w:proofErr w:type="gramStart"/>
      <w:r w:rsidRPr="00F5506B">
        <w:rPr>
          <w:rFonts w:ascii="Arial" w:eastAsia="Times New Roman" w:hAnsi="Arial" w:cs="Arial"/>
          <w:sz w:val="20"/>
          <w:szCs w:val="20"/>
          <w:lang w:eastAsia="pt-BR"/>
        </w:rPr>
        <w:t>a</w:t>
      </w:r>
      <w:proofErr w:type="gramEnd"/>
      <w:r w:rsidRPr="00F5506B">
        <w:rPr>
          <w:rFonts w:ascii="Arial" w:eastAsia="Times New Roman" w:hAnsi="Arial" w:cs="Arial"/>
          <w:sz w:val="20"/>
          <w:szCs w:val="20"/>
          <w:lang w:eastAsia="pt-BR"/>
        </w:rPr>
        <w:t>)  Editorial sobre o panorama econômico relativo ao mês anterior;</w:t>
      </w:r>
    </w:p>
    <w:p w:rsidR="00B75C56" w:rsidRPr="00F5506B" w:rsidRDefault="00B75C56" w:rsidP="00F5506B">
      <w:pPr>
        <w:spacing w:before="240" w:after="100" w:afterAutospacing="1" w:line="240" w:lineRule="auto"/>
        <w:jc w:val="both"/>
        <w:rPr>
          <w:rFonts w:ascii="Times New Roman" w:eastAsia="Times New Roman" w:hAnsi="Times New Roman" w:cs="Times New Roman"/>
          <w:sz w:val="24"/>
          <w:szCs w:val="24"/>
          <w:lang w:eastAsia="pt-BR"/>
        </w:rPr>
      </w:pPr>
      <w:proofErr w:type="gramStart"/>
      <w:r w:rsidRPr="00F5506B">
        <w:rPr>
          <w:rFonts w:ascii="Arial" w:eastAsia="Times New Roman" w:hAnsi="Arial" w:cs="Arial"/>
          <w:sz w:val="20"/>
          <w:szCs w:val="20"/>
          <w:lang w:eastAsia="pt-BR"/>
        </w:rPr>
        <w:t>b)</w:t>
      </w:r>
      <w:proofErr w:type="gramEnd"/>
      <w:r w:rsidRPr="00F5506B">
        <w:rPr>
          <w:rFonts w:ascii="Arial" w:eastAsia="Times New Roman" w:hAnsi="Arial" w:cs="Arial"/>
          <w:sz w:val="20"/>
          <w:szCs w:val="20"/>
          <w:lang w:eastAsia="pt-BR"/>
        </w:rPr>
        <w:t>  Relatório Mensal que contém: análise qualitativa da situação da carteira em relação à composição, rentabilidade, enquadramentos, aderência à Política de Investimentos, riscos (mercado, liquidez e crédito); análise quantitativa baseada em dados históricos e ilustrada por comparativos gráficos e; sugestões para otimização da carteira cumprindo a exigência da Portaria MPS 519, de 24 de agosto de 2011, Artigo 3º Incisos III e V;</w:t>
      </w:r>
    </w:p>
    <w:p w:rsidR="00B75C56" w:rsidRPr="00F5506B" w:rsidRDefault="00B75C56" w:rsidP="00F5506B">
      <w:pPr>
        <w:spacing w:before="240" w:after="100" w:afterAutospacing="1" w:line="240" w:lineRule="auto"/>
        <w:jc w:val="both"/>
        <w:rPr>
          <w:rFonts w:ascii="Times New Roman" w:eastAsia="Times New Roman" w:hAnsi="Times New Roman" w:cs="Times New Roman"/>
          <w:sz w:val="24"/>
          <w:szCs w:val="24"/>
          <w:lang w:eastAsia="pt-BR"/>
        </w:rPr>
      </w:pPr>
      <w:proofErr w:type="gramStart"/>
      <w:r w:rsidRPr="00F5506B">
        <w:rPr>
          <w:rFonts w:ascii="Arial" w:eastAsia="Times New Roman" w:hAnsi="Arial" w:cs="Arial"/>
          <w:sz w:val="20"/>
          <w:szCs w:val="20"/>
          <w:lang w:eastAsia="pt-BR"/>
        </w:rPr>
        <w:t>c)</w:t>
      </w:r>
      <w:proofErr w:type="gramEnd"/>
      <w:r w:rsidRPr="00F5506B">
        <w:rPr>
          <w:rFonts w:ascii="Arial" w:eastAsia="Times New Roman" w:hAnsi="Arial" w:cs="Arial"/>
          <w:sz w:val="20"/>
          <w:szCs w:val="20"/>
          <w:lang w:eastAsia="pt-BR"/>
        </w:rPr>
        <w:t>  Relatório de Monitoramento Trimestral que contém: análise sobre a rentabilidade e risco das diversas modalidades de operações realizadas pelo RPPS, com títulos, valores mobiliários e demais ativos alocados nos segmentos de renda fixa, renda variável, investimentos estruturados e investimentos no exterior, cumprindo a exigência da Portaria MPS 519, de 24 de agosto de 2011, Artigo 3º Incisos III e V;</w:t>
      </w:r>
    </w:p>
    <w:p w:rsidR="00B75C56" w:rsidRPr="00F5506B" w:rsidRDefault="00B75C56" w:rsidP="00F5506B">
      <w:pPr>
        <w:spacing w:before="240" w:after="100" w:afterAutospacing="1" w:line="240" w:lineRule="auto"/>
        <w:jc w:val="both"/>
        <w:rPr>
          <w:rFonts w:ascii="Times New Roman" w:eastAsia="Times New Roman" w:hAnsi="Times New Roman" w:cs="Times New Roman"/>
          <w:sz w:val="24"/>
          <w:szCs w:val="24"/>
          <w:lang w:eastAsia="pt-BR"/>
        </w:rPr>
      </w:pPr>
      <w:proofErr w:type="gramStart"/>
      <w:r w:rsidRPr="00F5506B">
        <w:rPr>
          <w:rFonts w:ascii="Arial" w:eastAsia="Times New Roman" w:hAnsi="Arial" w:cs="Arial"/>
          <w:sz w:val="20"/>
          <w:szCs w:val="20"/>
          <w:lang w:eastAsia="pt-BR"/>
        </w:rPr>
        <w:t>d)</w:t>
      </w:r>
      <w:proofErr w:type="gramEnd"/>
      <w:r w:rsidRPr="00F5506B">
        <w:rPr>
          <w:rFonts w:ascii="Arial" w:eastAsia="Times New Roman" w:hAnsi="Arial" w:cs="Arial"/>
          <w:sz w:val="20"/>
          <w:szCs w:val="20"/>
          <w:lang w:eastAsia="pt-BR"/>
        </w:rPr>
        <w:t>  Relatório de Análise de Fundos de Investimentos classificados a ICVM 555/2014 que contém: análise de regulamento, enquadramento, prospecto (quando houver) e parecer opinativo e</w:t>
      </w:r>
    </w:p>
    <w:p w:rsidR="00B75C56" w:rsidRPr="00F5506B" w:rsidRDefault="00B75C56" w:rsidP="00F5506B">
      <w:pPr>
        <w:spacing w:before="240" w:after="100" w:afterAutospacing="1" w:line="240" w:lineRule="auto"/>
        <w:jc w:val="both"/>
        <w:rPr>
          <w:rFonts w:ascii="Times New Roman" w:eastAsia="Times New Roman" w:hAnsi="Times New Roman" w:cs="Times New Roman"/>
          <w:sz w:val="24"/>
          <w:szCs w:val="24"/>
          <w:lang w:eastAsia="pt-BR"/>
        </w:rPr>
      </w:pPr>
      <w:proofErr w:type="gramStart"/>
      <w:r w:rsidRPr="00F5506B">
        <w:rPr>
          <w:rFonts w:ascii="Arial" w:eastAsia="Times New Roman" w:hAnsi="Arial" w:cs="Arial"/>
          <w:sz w:val="20"/>
          <w:szCs w:val="20"/>
          <w:lang w:eastAsia="pt-BR"/>
        </w:rPr>
        <w:t>e</w:t>
      </w:r>
      <w:proofErr w:type="gramEnd"/>
      <w:r w:rsidRPr="00F5506B">
        <w:rPr>
          <w:rFonts w:ascii="Arial" w:eastAsia="Times New Roman" w:hAnsi="Arial" w:cs="Arial"/>
          <w:sz w:val="20"/>
          <w:szCs w:val="20"/>
          <w:lang w:eastAsia="pt-BR"/>
        </w:rPr>
        <w:t>)  Relatório de Análise de Fundos de Investimentos classificados como "Estruturados" que contém: análise de regulamento, enquadramento, prospecto (quando houver) e parecer opinativo.</w:t>
      </w:r>
    </w:p>
    <w:p w:rsidR="00B75C56" w:rsidRPr="00F5506B" w:rsidRDefault="00B75C56" w:rsidP="00F5506B">
      <w:pPr>
        <w:spacing w:before="240" w:after="100" w:afterAutospacing="1" w:line="240" w:lineRule="auto"/>
        <w:rPr>
          <w:rFonts w:ascii="Times New Roman" w:eastAsia="Times New Roman" w:hAnsi="Times New Roman" w:cs="Times New Roman"/>
          <w:b/>
          <w:bCs/>
          <w:kern w:val="36"/>
          <w:sz w:val="48"/>
          <w:szCs w:val="48"/>
          <w:lang w:eastAsia="pt-BR"/>
        </w:rPr>
      </w:pPr>
      <w:r w:rsidRPr="00B75C56">
        <w:rPr>
          <w:rFonts w:ascii="Arial" w:eastAsia="Times New Roman" w:hAnsi="Arial" w:cs="Arial"/>
          <w:color w:val="FF0000"/>
          <w:sz w:val="20"/>
          <w:szCs w:val="20"/>
          <w:lang w:eastAsia="pt-BR"/>
        </w:rPr>
        <w:t> </w:t>
      </w:r>
      <w:bookmarkStart w:id="117" w:name="_Toc20130625"/>
      <w:r w:rsidRPr="00F5506B">
        <w:rPr>
          <w:rFonts w:ascii="Arial" w:eastAsia="Times New Roman" w:hAnsi="Arial" w:cs="Arial"/>
          <w:b/>
          <w:bCs/>
          <w:kern w:val="36"/>
          <w:lang w:eastAsia="pt-BR"/>
        </w:rPr>
        <w:t>13</w:t>
      </w:r>
      <w:r w:rsidRPr="00F5506B">
        <w:rPr>
          <w:rFonts w:ascii="Times New Roman" w:eastAsia="Times New Roman" w:hAnsi="Times New Roman" w:cs="Times New Roman"/>
          <w:b/>
          <w:bCs/>
          <w:kern w:val="36"/>
          <w:sz w:val="14"/>
          <w:szCs w:val="14"/>
          <w:lang w:eastAsia="pt-BR"/>
        </w:rPr>
        <w:t xml:space="preserve">     </w:t>
      </w:r>
      <w:r w:rsidRPr="00F5506B">
        <w:rPr>
          <w:rFonts w:ascii="Arial" w:eastAsia="Times New Roman" w:hAnsi="Arial" w:cs="Arial"/>
          <w:b/>
          <w:bCs/>
          <w:kern w:val="36"/>
          <w:lang w:eastAsia="pt-BR"/>
        </w:rPr>
        <w:t>PLANO DE CONTINGÊNCIA</w:t>
      </w:r>
      <w:bookmarkEnd w:id="117"/>
      <w:r w:rsidRPr="00F5506B">
        <w:rPr>
          <w:rFonts w:ascii="Arial" w:eastAsia="Times New Roman" w:hAnsi="Arial" w:cs="Arial"/>
          <w:b/>
          <w:bCs/>
          <w:kern w:val="36"/>
          <w:lang w:eastAsia="pt-BR"/>
        </w:rPr>
        <w:t xml:space="preserve"> </w:t>
      </w:r>
    </w:p>
    <w:p w:rsidR="00B75C56" w:rsidRPr="00F5506B" w:rsidRDefault="00B75C56" w:rsidP="00F5506B">
      <w:pPr>
        <w:spacing w:before="240" w:after="100" w:afterAutospacing="1" w:line="240" w:lineRule="auto"/>
        <w:jc w:val="both"/>
        <w:rPr>
          <w:rFonts w:ascii="Times New Roman" w:eastAsia="Times New Roman" w:hAnsi="Times New Roman" w:cs="Times New Roman"/>
          <w:sz w:val="24"/>
          <w:szCs w:val="24"/>
          <w:lang w:eastAsia="pt-BR"/>
        </w:rPr>
      </w:pPr>
      <w:r w:rsidRPr="00F5506B">
        <w:rPr>
          <w:rFonts w:ascii="Arial" w:eastAsia="Times New Roman" w:hAnsi="Arial" w:cs="Arial"/>
          <w:sz w:val="20"/>
          <w:szCs w:val="20"/>
          <w:lang w:eastAsia="pt-BR"/>
        </w:rPr>
        <w:t>O Plano de Contingência estabelecido</w:t>
      </w:r>
      <w:r w:rsidR="00F5506B" w:rsidRPr="00F5506B">
        <w:rPr>
          <w:rFonts w:ascii="Arial" w:eastAsia="Times New Roman" w:hAnsi="Arial" w:cs="Arial"/>
          <w:sz w:val="20"/>
          <w:szCs w:val="20"/>
          <w:lang w:eastAsia="pt-BR"/>
        </w:rPr>
        <w:t xml:space="preserve"> contempla</w:t>
      </w:r>
      <w:r w:rsidRPr="00F5506B">
        <w:rPr>
          <w:rFonts w:ascii="Arial" w:eastAsia="Times New Roman" w:hAnsi="Arial" w:cs="Arial"/>
          <w:sz w:val="20"/>
          <w:szCs w:val="20"/>
          <w:lang w:eastAsia="pt-BR"/>
        </w:rPr>
        <w:t xml:space="preserve"> a abrangência exigida pela Resolução CMN n° 3.922/2010, em seu Art. 4°, inciso VIII, ou seja, entende-se por "contingência" no âmbito desta Política de Investimentos a </w:t>
      </w:r>
      <w:r w:rsidRPr="00F5506B">
        <w:rPr>
          <w:rFonts w:ascii="Arial" w:eastAsia="Times New Roman" w:hAnsi="Arial" w:cs="Arial"/>
          <w:b/>
          <w:bCs/>
          <w:sz w:val="20"/>
          <w:szCs w:val="20"/>
          <w:lang w:eastAsia="pt-BR"/>
        </w:rPr>
        <w:t>excessiva exposição a riscos ou potenciais perdas dos recursos</w:t>
      </w:r>
      <w:r w:rsidRPr="00F5506B">
        <w:rPr>
          <w:rFonts w:ascii="Arial" w:eastAsia="Times New Roman" w:hAnsi="Arial" w:cs="Arial"/>
          <w:sz w:val="20"/>
          <w:szCs w:val="20"/>
          <w:lang w:eastAsia="pt-BR"/>
        </w:rPr>
        <w:t>.</w:t>
      </w:r>
    </w:p>
    <w:p w:rsidR="00B75C56" w:rsidRPr="00F5506B" w:rsidRDefault="00B75C56" w:rsidP="00F5506B">
      <w:pPr>
        <w:spacing w:before="240" w:after="100" w:afterAutospacing="1" w:line="240" w:lineRule="auto"/>
        <w:jc w:val="both"/>
        <w:rPr>
          <w:rFonts w:ascii="Times New Roman" w:eastAsia="Times New Roman" w:hAnsi="Times New Roman" w:cs="Times New Roman"/>
          <w:sz w:val="24"/>
          <w:szCs w:val="24"/>
          <w:lang w:eastAsia="pt-BR"/>
        </w:rPr>
      </w:pPr>
      <w:r w:rsidRPr="00F5506B">
        <w:rPr>
          <w:rFonts w:ascii="Arial" w:eastAsia="Times New Roman" w:hAnsi="Arial" w:cs="Arial"/>
          <w:sz w:val="20"/>
          <w:szCs w:val="20"/>
          <w:lang w:eastAsia="pt-BR"/>
        </w:rPr>
        <w:t>Com a identificação clara das contingências chegamos ao desenvolvimento do plano no processo dos investimentos, que abrange não somente a Diretoria Executiva, como o Comitê de Investimentos e o Conselho Deliberativo.</w:t>
      </w:r>
    </w:p>
    <w:p w:rsidR="00B75C56" w:rsidRPr="00F5506B" w:rsidRDefault="00B75C56" w:rsidP="00B75C56">
      <w:pPr>
        <w:spacing w:before="100" w:beforeAutospacing="1" w:after="100" w:afterAutospacing="1" w:line="240" w:lineRule="auto"/>
        <w:outlineLvl w:val="1"/>
        <w:rPr>
          <w:rFonts w:ascii="Arial" w:eastAsia="Times New Roman" w:hAnsi="Arial" w:cs="Arial"/>
          <w:b/>
          <w:bCs/>
          <w:lang w:eastAsia="pt-BR"/>
        </w:rPr>
      </w:pPr>
      <w:bookmarkStart w:id="118" w:name="_Toc20130626"/>
      <w:r w:rsidRPr="00F5506B">
        <w:rPr>
          <w:rFonts w:ascii="Arial" w:eastAsia="Times New Roman" w:hAnsi="Arial" w:cs="Arial"/>
          <w:b/>
          <w:bCs/>
          <w:lang w:eastAsia="pt-BR"/>
        </w:rPr>
        <w:t>13.1    EXPOSIÇÃO A RISCO</w:t>
      </w:r>
      <w:bookmarkEnd w:id="118"/>
    </w:p>
    <w:p w:rsidR="00B75C56" w:rsidRPr="00F5506B" w:rsidRDefault="00B75C56" w:rsidP="00F5506B">
      <w:pPr>
        <w:spacing w:before="240" w:after="100" w:afterAutospacing="1" w:line="240" w:lineRule="auto"/>
        <w:jc w:val="both"/>
        <w:rPr>
          <w:rFonts w:ascii="Times New Roman" w:eastAsia="Times New Roman" w:hAnsi="Times New Roman" w:cs="Times New Roman"/>
          <w:sz w:val="24"/>
          <w:szCs w:val="24"/>
          <w:lang w:eastAsia="pt-BR"/>
        </w:rPr>
      </w:pPr>
      <w:proofErr w:type="gramStart"/>
      <w:r w:rsidRPr="00F5506B">
        <w:rPr>
          <w:rFonts w:ascii="Arial" w:eastAsia="Times New Roman" w:hAnsi="Arial" w:cs="Arial"/>
          <w:sz w:val="20"/>
          <w:szCs w:val="20"/>
          <w:lang w:eastAsia="pt-BR"/>
        </w:rPr>
        <w:t>Entende-se</w:t>
      </w:r>
      <w:proofErr w:type="gramEnd"/>
      <w:r w:rsidRPr="00F5506B">
        <w:rPr>
          <w:rFonts w:ascii="Arial" w:eastAsia="Times New Roman" w:hAnsi="Arial" w:cs="Arial"/>
          <w:sz w:val="20"/>
          <w:szCs w:val="20"/>
          <w:lang w:eastAsia="pt-BR"/>
        </w:rPr>
        <w:t xml:space="preserve"> como Exposição a Risco os investimentos que direcionam a carteira de investimentos do </w:t>
      </w:r>
      <w:r w:rsidRPr="00F5506B">
        <w:rPr>
          <w:rFonts w:ascii="Arial" w:eastAsia="Times New Roman" w:hAnsi="Arial" w:cs="Arial"/>
          <w:b/>
          <w:bCs/>
          <w:sz w:val="20"/>
          <w:szCs w:val="20"/>
          <w:lang w:eastAsia="pt-BR"/>
        </w:rPr>
        <w:t>FUNDO MUNICIPAL DE APOSENTADORIA E PENSÃO DE FERNÃO</w:t>
      </w:r>
      <w:r w:rsidRPr="00F5506B">
        <w:rPr>
          <w:rFonts w:ascii="Arial" w:eastAsia="Times New Roman" w:hAnsi="Arial" w:cs="Arial"/>
          <w:sz w:val="20"/>
          <w:szCs w:val="20"/>
          <w:lang w:eastAsia="pt-BR"/>
        </w:rPr>
        <w:t xml:space="preserve"> para o não cumprimento dos limites, requisitos e normas estabelecidos aos RPPS.</w:t>
      </w:r>
    </w:p>
    <w:p w:rsidR="00B75C56" w:rsidRPr="00F5506B" w:rsidRDefault="00B75C56" w:rsidP="00F5506B">
      <w:pPr>
        <w:spacing w:before="240" w:after="100" w:afterAutospacing="1" w:line="240" w:lineRule="auto"/>
        <w:jc w:val="both"/>
        <w:rPr>
          <w:rFonts w:ascii="Times New Roman" w:eastAsia="Times New Roman" w:hAnsi="Times New Roman" w:cs="Times New Roman"/>
          <w:sz w:val="24"/>
          <w:szCs w:val="24"/>
          <w:lang w:eastAsia="pt-BR"/>
        </w:rPr>
      </w:pPr>
      <w:r w:rsidRPr="00F5506B">
        <w:rPr>
          <w:rFonts w:ascii="Arial" w:eastAsia="Times New Roman" w:hAnsi="Arial" w:cs="Arial"/>
          <w:sz w:val="20"/>
          <w:szCs w:val="20"/>
          <w:lang w:eastAsia="pt-BR"/>
        </w:rPr>
        <w:t>O não cumprimento dos limites, requisitos e normas estabelecidos, podem ser classificados como sendo:</w:t>
      </w:r>
    </w:p>
    <w:p w:rsidR="00B75C56" w:rsidRPr="00F5506B" w:rsidRDefault="00B75C56" w:rsidP="00B75C56">
      <w:pPr>
        <w:spacing w:before="240" w:after="100" w:afterAutospacing="1" w:line="240" w:lineRule="auto"/>
        <w:ind w:hanging="360"/>
        <w:rPr>
          <w:rFonts w:ascii="Times New Roman" w:eastAsia="Times New Roman" w:hAnsi="Times New Roman" w:cs="Times New Roman"/>
          <w:sz w:val="24"/>
          <w:szCs w:val="24"/>
          <w:lang w:eastAsia="pt-BR"/>
        </w:rPr>
      </w:pPr>
      <w:proofErr w:type="gramStart"/>
      <w:r w:rsidRPr="00F5506B">
        <w:rPr>
          <w:rFonts w:ascii="Arial" w:eastAsia="Times New Roman" w:hAnsi="Arial" w:cs="Arial"/>
          <w:sz w:val="20"/>
          <w:szCs w:val="20"/>
          <w:lang w:eastAsia="pt-BR"/>
        </w:rPr>
        <w:t>1</w:t>
      </w:r>
      <w:proofErr w:type="gramEnd"/>
      <w:r w:rsidRPr="00F5506B">
        <w:rPr>
          <w:rFonts w:ascii="Times New Roman" w:eastAsia="Times New Roman" w:hAnsi="Times New Roman" w:cs="Times New Roman"/>
          <w:sz w:val="14"/>
          <w:szCs w:val="14"/>
          <w:lang w:eastAsia="pt-BR"/>
        </w:rPr>
        <w:t xml:space="preserve">      </w:t>
      </w:r>
      <w:proofErr w:type="spellStart"/>
      <w:r w:rsidRPr="00F5506B">
        <w:rPr>
          <w:rFonts w:ascii="Arial" w:eastAsia="Times New Roman" w:hAnsi="Arial" w:cs="Arial"/>
          <w:sz w:val="20"/>
          <w:szCs w:val="20"/>
          <w:lang w:eastAsia="pt-BR"/>
        </w:rPr>
        <w:t>Desenquadramento</w:t>
      </w:r>
      <w:proofErr w:type="spellEnd"/>
      <w:r w:rsidRPr="00F5506B">
        <w:rPr>
          <w:rFonts w:ascii="Arial" w:eastAsia="Times New Roman" w:hAnsi="Arial" w:cs="Arial"/>
          <w:sz w:val="20"/>
          <w:szCs w:val="20"/>
          <w:lang w:eastAsia="pt-BR"/>
        </w:rPr>
        <w:t xml:space="preserve"> da Carteira de Investimentos;</w:t>
      </w:r>
    </w:p>
    <w:p w:rsidR="00B75C56" w:rsidRPr="00F5506B" w:rsidRDefault="00B75C56" w:rsidP="00B75C56">
      <w:pPr>
        <w:spacing w:before="240" w:after="100" w:afterAutospacing="1" w:line="240" w:lineRule="auto"/>
        <w:ind w:hanging="360"/>
        <w:rPr>
          <w:rFonts w:ascii="Times New Roman" w:eastAsia="Times New Roman" w:hAnsi="Times New Roman" w:cs="Times New Roman"/>
          <w:sz w:val="24"/>
          <w:szCs w:val="24"/>
          <w:lang w:eastAsia="pt-BR"/>
        </w:rPr>
      </w:pPr>
      <w:proofErr w:type="gramStart"/>
      <w:r w:rsidRPr="00F5506B">
        <w:rPr>
          <w:rFonts w:ascii="Arial" w:eastAsia="Times New Roman" w:hAnsi="Arial" w:cs="Arial"/>
          <w:sz w:val="20"/>
          <w:szCs w:val="20"/>
          <w:lang w:eastAsia="pt-BR"/>
        </w:rPr>
        <w:lastRenderedPageBreak/>
        <w:t>2</w:t>
      </w:r>
      <w:proofErr w:type="gramEnd"/>
      <w:r w:rsidRPr="00F5506B">
        <w:rPr>
          <w:rFonts w:ascii="Times New Roman" w:eastAsia="Times New Roman" w:hAnsi="Times New Roman" w:cs="Times New Roman"/>
          <w:sz w:val="14"/>
          <w:szCs w:val="14"/>
          <w:lang w:eastAsia="pt-BR"/>
        </w:rPr>
        <w:t xml:space="preserve">      </w:t>
      </w:r>
      <w:proofErr w:type="spellStart"/>
      <w:r w:rsidRPr="00F5506B">
        <w:rPr>
          <w:rFonts w:ascii="Arial" w:eastAsia="Times New Roman" w:hAnsi="Arial" w:cs="Arial"/>
          <w:sz w:val="20"/>
          <w:szCs w:val="20"/>
          <w:lang w:eastAsia="pt-BR"/>
        </w:rPr>
        <w:t>Desenquadramento</w:t>
      </w:r>
      <w:proofErr w:type="spellEnd"/>
      <w:r w:rsidRPr="00F5506B">
        <w:rPr>
          <w:rFonts w:ascii="Arial" w:eastAsia="Times New Roman" w:hAnsi="Arial" w:cs="Arial"/>
          <w:sz w:val="20"/>
          <w:szCs w:val="20"/>
          <w:lang w:eastAsia="pt-BR"/>
        </w:rPr>
        <w:t xml:space="preserve"> do Fundo de Investimento;</w:t>
      </w:r>
    </w:p>
    <w:p w:rsidR="00B75C56" w:rsidRPr="00F5506B" w:rsidRDefault="00B75C56" w:rsidP="00B75C56">
      <w:pPr>
        <w:spacing w:before="240" w:after="100" w:afterAutospacing="1" w:line="240" w:lineRule="auto"/>
        <w:ind w:hanging="360"/>
        <w:rPr>
          <w:rFonts w:ascii="Times New Roman" w:eastAsia="Times New Roman" w:hAnsi="Times New Roman" w:cs="Times New Roman"/>
          <w:sz w:val="24"/>
          <w:szCs w:val="24"/>
          <w:lang w:eastAsia="pt-BR"/>
        </w:rPr>
      </w:pPr>
      <w:proofErr w:type="gramStart"/>
      <w:r w:rsidRPr="00F5506B">
        <w:rPr>
          <w:rFonts w:ascii="Arial" w:eastAsia="Times New Roman" w:hAnsi="Arial" w:cs="Arial"/>
          <w:sz w:val="20"/>
          <w:szCs w:val="20"/>
          <w:lang w:eastAsia="pt-BR"/>
        </w:rPr>
        <w:t>3</w:t>
      </w:r>
      <w:proofErr w:type="gramEnd"/>
      <w:r w:rsidRPr="00F5506B">
        <w:rPr>
          <w:rFonts w:ascii="Times New Roman" w:eastAsia="Times New Roman" w:hAnsi="Times New Roman" w:cs="Times New Roman"/>
          <w:sz w:val="14"/>
          <w:szCs w:val="14"/>
          <w:lang w:eastAsia="pt-BR"/>
        </w:rPr>
        <w:t xml:space="preserve">      </w:t>
      </w:r>
      <w:proofErr w:type="spellStart"/>
      <w:r w:rsidRPr="00F5506B">
        <w:rPr>
          <w:rFonts w:ascii="Arial" w:eastAsia="Times New Roman" w:hAnsi="Arial" w:cs="Arial"/>
          <w:sz w:val="20"/>
          <w:szCs w:val="20"/>
          <w:lang w:eastAsia="pt-BR"/>
        </w:rPr>
        <w:t>Desenquadramento</w:t>
      </w:r>
      <w:proofErr w:type="spellEnd"/>
      <w:r w:rsidRPr="00F5506B">
        <w:rPr>
          <w:rFonts w:ascii="Arial" w:eastAsia="Times New Roman" w:hAnsi="Arial" w:cs="Arial"/>
          <w:sz w:val="20"/>
          <w:szCs w:val="20"/>
          <w:lang w:eastAsia="pt-BR"/>
        </w:rPr>
        <w:t xml:space="preserve"> da Política de Investimentos;</w:t>
      </w:r>
    </w:p>
    <w:p w:rsidR="00B75C56" w:rsidRPr="00F5506B" w:rsidRDefault="00B75C56" w:rsidP="00B75C56">
      <w:pPr>
        <w:spacing w:before="240" w:after="100" w:afterAutospacing="1" w:line="240" w:lineRule="auto"/>
        <w:ind w:hanging="360"/>
        <w:rPr>
          <w:rFonts w:ascii="Times New Roman" w:eastAsia="Times New Roman" w:hAnsi="Times New Roman" w:cs="Times New Roman"/>
          <w:sz w:val="24"/>
          <w:szCs w:val="24"/>
          <w:lang w:eastAsia="pt-BR"/>
        </w:rPr>
      </w:pPr>
      <w:proofErr w:type="gramStart"/>
      <w:r w:rsidRPr="00F5506B">
        <w:rPr>
          <w:rFonts w:ascii="Arial" w:eastAsia="Times New Roman" w:hAnsi="Arial" w:cs="Arial"/>
          <w:sz w:val="20"/>
          <w:szCs w:val="20"/>
          <w:lang w:eastAsia="pt-BR"/>
        </w:rPr>
        <w:t>4</w:t>
      </w:r>
      <w:proofErr w:type="gramEnd"/>
      <w:r w:rsidRPr="00F5506B">
        <w:rPr>
          <w:rFonts w:ascii="Times New Roman" w:eastAsia="Times New Roman" w:hAnsi="Times New Roman" w:cs="Times New Roman"/>
          <w:sz w:val="14"/>
          <w:szCs w:val="14"/>
          <w:lang w:eastAsia="pt-BR"/>
        </w:rPr>
        <w:t xml:space="preserve">      </w:t>
      </w:r>
      <w:r w:rsidRPr="00F5506B">
        <w:rPr>
          <w:rFonts w:ascii="Arial" w:eastAsia="Times New Roman" w:hAnsi="Arial" w:cs="Arial"/>
          <w:sz w:val="20"/>
          <w:szCs w:val="20"/>
          <w:lang w:eastAsia="pt-BR"/>
        </w:rPr>
        <w:t>Movimentações Financeiras não autorizadas;</w:t>
      </w:r>
    </w:p>
    <w:p w:rsidR="00B75C56" w:rsidRPr="00F5506B" w:rsidRDefault="00B75C56" w:rsidP="00F5506B">
      <w:pPr>
        <w:spacing w:before="240" w:after="100" w:afterAutospacing="1" w:line="240" w:lineRule="auto"/>
        <w:jc w:val="both"/>
        <w:rPr>
          <w:rFonts w:ascii="Times New Roman" w:eastAsia="Times New Roman" w:hAnsi="Times New Roman" w:cs="Times New Roman"/>
          <w:sz w:val="24"/>
          <w:szCs w:val="24"/>
          <w:lang w:eastAsia="pt-BR"/>
        </w:rPr>
      </w:pPr>
      <w:r w:rsidRPr="00F5506B">
        <w:rPr>
          <w:rFonts w:ascii="Arial" w:eastAsia="Times New Roman" w:hAnsi="Arial" w:cs="Arial"/>
          <w:sz w:val="20"/>
          <w:szCs w:val="20"/>
          <w:lang w:eastAsia="pt-BR"/>
        </w:rPr>
        <w:t>Caso identificado o não cumprimento dos itens descritos, ficam os responsáveis pelos investimentos, devidamente definidos nesta Política de Investimentos, obrigados a:</w:t>
      </w:r>
    </w:p>
    <w:tbl>
      <w:tblPr>
        <w:tblW w:w="4918" w:type="pct"/>
        <w:tblCellMar>
          <w:left w:w="0" w:type="dxa"/>
          <w:right w:w="0" w:type="dxa"/>
        </w:tblCellMar>
        <w:tblLook w:val="04A0"/>
      </w:tblPr>
      <w:tblGrid>
        <w:gridCol w:w="3080"/>
        <w:gridCol w:w="3053"/>
        <w:gridCol w:w="3002"/>
      </w:tblGrid>
      <w:tr w:rsidR="00B75C56" w:rsidRPr="00B75C56" w:rsidTr="00B75C56">
        <w:trPr>
          <w:trHeight w:val="467"/>
        </w:trPr>
        <w:tc>
          <w:tcPr>
            <w:tcW w:w="16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75C56" w:rsidRPr="005E434E" w:rsidRDefault="00B75C56" w:rsidP="00B75C56">
            <w:pPr>
              <w:spacing w:before="240" w:after="0" w:line="240" w:lineRule="auto"/>
              <w:jc w:val="center"/>
              <w:rPr>
                <w:rFonts w:ascii="Arial" w:eastAsia="Times New Roman" w:hAnsi="Arial" w:cs="Arial"/>
                <w:b/>
                <w:bCs/>
                <w:sz w:val="20"/>
                <w:szCs w:val="20"/>
                <w:lang w:eastAsia="pt-BR"/>
              </w:rPr>
            </w:pPr>
            <w:r w:rsidRPr="005E434E">
              <w:rPr>
                <w:rFonts w:ascii="Arial" w:eastAsia="Times New Roman" w:hAnsi="Arial" w:cs="Arial"/>
                <w:sz w:val="20"/>
                <w:szCs w:val="20"/>
                <w:lang w:eastAsia="pt-BR"/>
              </w:rPr>
              <w:t> </w:t>
            </w:r>
            <w:r w:rsidRPr="005E434E">
              <w:rPr>
                <w:rFonts w:ascii="Arial" w:eastAsia="Times New Roman" w:hAnsi="Arial" w:cs="Arial"/>
                <w:b/>
                <w:bCs/>
                <w:sz w:val="20"/>
                <w:szCs w:val="20"/>
                <w:lang w:eastAsia="pt-BR"/>
              </w:rPr>
              <w:t>Contingências</w:t>
            </w:r>
          </w:p>
          <w:p w:rsidR="005E434E" w:rsidRPr="005E434E" w:rsidRDefault="005E434E" w:rsidP="00B75C56">
            <w:pPr>
              <w:spacing w:before="240" w:after="0" w:line="240" w:lineRule="auto"/>
              <w:jc w:val="center"/>
              <w:rPr>
                <w:rFonts w:ascii="Times New Roman" w:eastAsia="Times New Roman" w:hAnsi="Times New Roman" w:cs="Times New Roman"/>
                <w:sz w:val="16"/>
                <w:szCs w:val="16"/>
                <w:lang w:eastAsia="pt-BR"/>
              </w:rPr>
            </w:pPr>
          </w:p>
        </w:tc>
        <w:tc>
          <w:tcPr>
            <w:tcW w:w="16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5C56" w:rsidRPr="005E434E" w:rsidRDefault="00B75C56" w:rsidP="00B75C56">
            <w:pPr>
              <w:spacing w:before="240" w:after="0" w:line="240" w:lineRule="auto"/>
              <w:jc w:val="center"/>
              <w:rPr>
                <w:rFonts w:ascii="Times New Roman" w:eastAsia="Times New Roman" w:hAnsi="Times New Roman" w:cs="Times New Roman"/>
                <w:sz w:val="24"/>
                <w:szCs w:val="24"/>
                <w:lang w:eastAsia="pt-BR"/>
              </w:rPr>
            </w:pPr>
            <w:r w:rsidRPr="005E434E">
              <w:rPr>
                <w:rFonts w:ascii="Arial" w:eastAsia="Times New Roman" w:hAnsi="Arial" w:cs="Arial"/>
                <w:b/>
                <w:bCs/>
                <w:sz w:val="20"/>
                <w:szCs w:val="20"/>
                <w:lang w:eastAsia="pt-BR"/>
              </w:rPr>
              <w:t>Medidas</w:t>
            </w:r>
          </w:p>
        </w:tc>
        <w:tc>
          <w:tcPr>
            <w:tcW w:w="16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5C56" w:rsidRPr="005E434E" w:rsidRDefault="00B75C56" w:rsidP="00B75C56">
            <w:pPr>
              <w:spacing w:before="240" w:after="0" w:line="240" w:lineRule="auto"/>
              <w:jc w:val="center"/>
              <w:rPr>
                <w:rFonts w:ascii="Times New Roman" w:eastAsia="Times New Roman" w:hAnsi="Times New Roman" w:cs="Times New Roman"/>
                <w:sz w:val="24"/>
                <w:szCs w:val="24"/>
                <w:lang w:eastAsia="pt-BR"/>
              </w:rPr>
            </w:pPr>
            <w:r w:rsidRPr="005E434E">
              <w:rPr>
                <w:rFonts w:ascii="Arial" w:eastAsia="Times New Roman" w:hAnsi="Arial" w:cs="Arial"/>
                <w:b/>
                <w:bCs/>
                <w:sz w:val="20"/>
                <w:szCs w:val="20"/>
                <w:lang w:eastAsia="pt-BR"/>
              </w:rPr>
              <w:t>Resolução</w:t>
            </w:r>
          </w:p>
        </w:tc>
      </w:tr>
      <w:tr w:rsidR="00B75C56" w:rsidRPr="00B75C56" w:rsidTr="00B75C56">
        <w:trPr>
          <w:trHeight w:val="2109"/>
        </w:trPr>
        <w:tc>
          <w:tcPr>
            <w:tcW w:w="168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75C56" w:rsidRPr="003610A1" w:rsidRDefault="00B75C56" w:rsidP="00B75C56">
            <w:pPr>
              <w:spacing w:before="240" w:after="0" w:line="240" w:lineRule="auto"/>
              <w:rPr>
                <w:rFonts w:ascii="Times New Roman" w:eastAsia="Times New Roman" w:hAnsi="Times New Roman" w:cs="Times New Roman"/>
                <w:sz w:val="24"/>
                <w:szCs w:val="24"/>
                <w:lang w:eastAsia="pt-BR"/>
              </w:rPr>
            </w:pPr>
            <w:r w:rsidRPr="003610A1">
              <w:rPr>
                <w:rFonts w:ascii="Arial" w:eastAsia="Times New Roman" w:hAnsi="Arial" w:cs="Arial"/>
                <w:sz w:val="20"/>
                <w:szCs w:val="20"/>
                <w:lang w:eastAsia="pt-BR"/>
              </w:rPr>
              <w:t xml:space="preserve">1. </w:t>
            </w:r>
            <w:proofErr w:type="spellStart"/>
            <w:r w:rsidRPr="003610A1">
              <w:rPr>
                <w:rFonts w:ascii="Arial" w:eastAsia="Times New Roman" w:hAnsi="Arial" w:cs="Arial"/>
                <w:sz w:val="20"/>
                <w:szCs w:val="20"/>
                <w:lang w:eastAsia="pt-BR"/>
              </w:rPr>
              <w:t>Desenquadramento</w:t>
            </w:r>
            <w:proofErr w:type="spellEnd"/>
            <w:r w:rsidRPr="003610A1">
              <w:rPr>
                <w:rFonts w:ascii="Arial" w:eastAsia="Times New Roman" w:hAnsi="Arial" w:cs="Arial"/>
                <w:sz w:val="20"/>
                <w:szCs w:val="20"/>
                <w:lang w:eastAsia="pt-BR"/>
              </w:rPr>
              <w:t xml:space="preserve"> da Carteira de Investimentos</w:t>
            </w:r>
          </w:p>
        </w:tc>
        <w:tc>
          <w:tcPr>
            <w:tcW w:w="1671" w:type="pct"/>
            <w:tcBorders>
              <w:top w:val="nil"/>
              <w:left w:val="nil"/>
              <w:bottom w:val="single" w:sz="8" w:space="0" w:color="auto"/>
              <w:right w:val="single" w:sz="8" w:space="0" w:color="auto"/>
            </w:tcBorders>
            <w:tcMar>
              <w:top w:w="0" w:type="dxa"/>
              <w:left w:w="108" w:type="dxa"/>
              <w:bottom w:w="0" w:type="dxa"/>
              <w:right w:w="108" w:type="dxa"/>
            </w:tcMar>
            <w:hideMark/>
          </w:tcPr>
          <w:p w:rsidR="00B75C56" w:rsidRPr="003610A1" w:rsidRDefault="00B75C56" w:rsidP="003610A1">
            <w:pPr>
              <w:spacing w:before="240" w:after="0" w:line="240" w:lineRule="auto"/>
              <w:jc w:val="both"/>
              <w:rPr>
                <w:rFonts w:ascii="Times New Roman" w:eastAsia="Times New Roman" w:hAnsi="Times New Roman" w:cs="Times New Roman"/>
                <w:sz w:val="24"/>
                <w:szCs w:val="24"/>
                <w:lang w:eastAsia="pt-BR"/>
              </w:rPr>
            </w:pPr>
            <w:r w:rsidRPr="003610A1">
              <w:rPr>
                <w:rFonts w:ascii="Arial" w:eastAsia="Times New Roman" w:hAnsi="Arial" w:cs="Arial"/>
                <w:sz w:val="20"/>
                <w:szCs w:val="20"/>
                <w:lang w:eastAsia="pt-BR"/>
              </w:rPr>
              <w:t xml:space="preserve">a) </w:t>
            </w:r>
            <w:proofErr w:type="gramStart"/>
            <w:r w:rsidRPr="003610A1">
              <w:rPr>
                <w:rFonts w:ascii="Arial" w:eastAsia="Times New Roman" w:hAnsi="Arial" w:cs="Arial"/>
                <w:sz w:val="20"/>
                <w:szCs w:val="20"/>
                <w:lang w:eastAsia="pt-BR"/>
              </w:rPr>
              <w:t>Apuração das causas acompanhado de relatório</w:t>
            </w:r>
            <w:proofErr w:type="gramEnd"/>
            <w:r w:rsidRPr="003610A1">
              <w:rPr>
                <w:rFonts w:ascii="Arial" w:eastAsia="Times New Roman" w:hAnsi="Arial" w:cs="Arial"/>
                <w:sz w:val="20"/>
                <w:szCs w:val="20"/>
                <w:lang w:eastAsia="pt-BR"/>
              </w:rPr>
              <w:t>;</w:t>
            </w:r>
          </w:p>
          <w:p w:rsidR="00B75C56" w:rsidRPr="003610A1" w:rsidRDefault="00B75C56" w:rsidP="003610A1">
            <w:pPr>
              <w:spacing w:before="240" w:after="0" w:line="240" w:lineRule="auto"/>
              <w:jc w:val="both"/>
              <w:rPr>
                <w:rFonts w:ascii="Times New Roman" w:eastAsia="Times New Roman" w:hAnsi="Times New Roman" w:cs="Times New Roman"/>
                <w:sz w:val="24"/>
                <w:szCs w:val="24"/>
                <w:lang w:eastAsia="pt-BR"/>
              </w:rPr>
            </w:pPr>
            <w:r w:rsidRPr="003610A1">
              <w:rPr>
                <w:rFonts w:ascii="Arial" w:eastAsia="Times New Roman" w:hAnsi="Arial" w:cs="Arial"/>
                <w:sz w:val="20"/>
                <w:szCs w:val="20"/>
                <w:lang w:eastAsia="pt-BR"/>
              </w:rPr>
              <w:t>b) Identificação dos envolvidos a contar do início do processo;</w:t>
            </w:r>
          </w:p>
          <w:p w:rsidR="00B75C56" w:rsidRPr="003610A1" w:rsidRDefault="00B75C56" w:rsidP="003610A1">
            <w:pPr>
              <w:spacing w:before="240" w:after="0" w:line="240" w:lineRule="auto"/>
              <w:jc w:val="both"/>
              <w:rPr>
                <w:rFonts w:ascii="Times New Roman" w:eastAsia="Times New Roman" w:hAnsi="Times New Roman" w:cs="Times New Roman"/>
                <w:sz w:val="24"/>
                <w:szCs w:val="24"/>
                <w:lang w:eastAsia="pt-BR"/>
              </w:rPr>
            </w:pPr>
            <w:r w:rsidRPr="003610A1">
              <w:rPr>
                <w:rFonts w:ascii="Arial" w:eastAsia="Times New Roman" w:hAnsi="Arial" w:cs="Arial"/>
                <w:sz w:val="20"/>
                <w:szCs w:val="20"/>
                <w:lang w:eastAsia="pt-BR"/>
              </w:rPr>
              <w:t>c) Estudo Técnico com a viabilidade para o enquadramento.</w:t>
            </w:r>
          </w:p>
        </w:tc>
        <w:tc>
          <w:tcPr>
            <w:tcW w:w="16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3610A1" w:rsidRDefault="00B75C56" w:rsidP="00B75C56">
            <w:pPr>
              <w:spacing w:before="240" w:after="0" w:line="240" w:lineRule="auto"/>
              <w:rPr>
                <w:rFonts w:ascii="Times New Roman" w:eastAsia="Times New Roman" w:hAnsi="Times New Roman" w:cs="Times New Roman"/>
                <w:sz w:val="24"/>
                <w:szCs w:val="24"/>
                <w:lang w:eastAsia="pt-BR"/>
              </w:rPr>
            </w:pPr>
            <w:r w:rsidRPr="003610A1">
              <w:rPr>
                <w:rFonts w:ascii="Arial" w:eastAsia="Times New Roman" w:hAnsi="Arial" w:cs="Arial"/>
                <w:sz w:val="20"/>
                <w:szCs w:val="20"/>
                <w:lang w:eastAsia="pt-BR"/>
              </w:rPr>
              <w:t>Curto, Médio e Longo Prazo</w:t>
            </w:r>
          </w:p>
        </w:tc>
      </w:tr>
      <w:tr w:rsidR="00B75C56" w:rsidRPr="00B75C56" w:rsidTr="00B75C56">
        <w:trPr>
          <w:trHeight w:val="2094"/>
        </w:trPr>
        <w:tc>
          <w:tcPr>
            <w:tcW w:w="168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75C56" w:rsidRPr="003610A1" w:rsidRDefault="00B75C56" w:rsidP="00B75C56">
            <w:pPr>
              <w:spacing w:before="240" w:after="0" w:line="240" w:lineRule="auto"/>
              <w:rPr>
                <w:rFonts w:ascii="Times New Roman" w:eastAsia="Times New Roman" w:hAnsi="Times New Roman" w:cs="Times New Roman"/>
                <w:sz w:val="24"/>
                <w:szCs w:val="24"/>
                <w:lang w:eastAsia="pt-BR"/>
              </w:rPr>
            </w:pPr>
            <w:r w:rsidRPr="003610A1">
              <w:rPr>
                <w:rFonts w:ascii="Arial" w:eastAsia="Times New Roman" w:hAnsi="Arial" w:cs="Arial"/>
                <w:sz w:val="20"/>
                <w:szCs w:val="20"/>
                <w:lang w:eastAsia="pt-BR"/>
              </w:rPr>
              <w:t xml:space="preserve">2. </w:t>
            </w:r>
            <w:proofErr w:type="spellStart"/>
            <w:r w:rsidRPr="003610A1">
              <w:rPr>
                <w:rFonts w:ascii="Arial" w:eastAsia="Times New Roman" w:hAnsi="Arial" w:cs="Arial"/>
                <w:sz w:val="20"/>
                <w:szCs w:val="20"/>
                <w:lang w:eastAsia="pt-BR"/>
              </w:rPr>
              <w:t>Desenquadramento</w:t>
            </w:r>
            <w:proofErr w:type="spellEnd"/>
            <w:r w:rsidRPr="003610A1">
              <w:rPr>
                <w:rFonts w:ascii="Arial" w:eastAsia="Times New Roman" w:hAnsi="Arial" w:cs="Arial"/>
                <w:sz w:val="20"/>
                <w:szCs w:val="20"/>
                <w:lang w:eastAsia="pt-BR"/>
              </w:rPr>
              <w:t xml:space="preserve"> do Fundo de Investimento</w:t>
            </w:r>
          </w:p>
        </w:tc>
        <w:tc>
          <w:tcPr>
            <w:tcW w:w="1671" w:type="pct"/>
            <w:tcBorders>
              <w:top w:val="nil"/>
              <w:left w:val="nil"/>
              <w:bottom w:val="single" w:sz="8" w:space="0" w:color="auto"/>
              <w:right w:val="single" w:sz="8" w:space="0" w:color="auto"/>
            </w:tcBorders>
            <w:tcMar>
              <w:top w:w="0" w:type="dxa"/>
              <w:left w:w="108" w:type="dxa"/>
              <w:bottom w:w="0" w:type="dxa"/>
              <w:right w:w="108" w:type="dxa"/>
            </w:tcMar>
            <w:hideMark/>
          </w:tcPr>
          <w:p w:rsidR="00B75C56" w:rsidRPr="003610A1" w:rsidRDefault="00B75C56" w:rsidP="003610A1">
            <w:pPr>
              <w:spacing w:before="240" w:after="0" w:line="240" w:lineRule="auto"/>
              <w:jc w:val="both"/>
              <w:rPr>
                <w:rFonts w:ascii="Times New Roman" w:eastAsia="Times New Roman" w:hAnsi="Times New Roman" w:cs="Times New Roman"/>
                <w:sz w:val="24"/>
                <w:szCs w:val="24"/>
                <w:lang w:eastAsia="pt-BR"/>
              </w:rPr>
            </w:pPr>
            <w:r w:rsidRPr="003610A1">
              <w:rPr>
                <w:rFonts w:ascii="Arial" w:eastAsia="Times New Roman" w:hAnsi="Arial" w:cs="Arial"/>
                <w:sz w:val="20"/>
                <w:szCs w:val="20"/>
                <w:lang w:eastAsia="pt-BR"/>
              </w:rPr>
              <w:t xml:space="preserve">a) </w:t>
            </w:r>
            <w:proofErr w:type="gramStart"/>
            <w:r w:rsidRPr="003610A1">
              <w:rPr>
                <w:rFonts w:ascii="Arial" w:eastAsia="Times New Roman" w:hAnsi="Arial" w:cs="Arial"/>
                <w:sz w:val="20"/>
                <w:szCs w:val="20"/>
                <w:lang w:eastAsia="pt-BR"/>
              </w:rPr>
              <w:t>Apuração das causas acompanhado de relatório</w:t>
            </w:r>
            <w:proofErr w:type="gramEnd"/>
            <w:r w:rsidRPr="003610A1">
              <w:rPr>
                <w:rFonts w:ascii="Arial" w:eastAsia="Times New Roman" w:hAnsi="Arial" w:cs="Arial"/>
                <w:sz w:val="20"/>
                <w:szCs w:val="20"/>
                <w:lang w:eastAsia="pt-BR"/>
              </w:rPr>
              <w:t>;</w:t>
            </w:r>
          </w:p>
          <w:p w:rsidR="00B75C56" w:rsidRPr="003610A1" w:rsidRDefault="00B75C56" w:rsidP="003610A1">
            <w:pPr>
              <w:spacing w:before="240" w:after="0" w:line="240" w:lineRule="auto"/>
              <w:jc w:val="both"/>
              <w:rPr>
                <w:rFonts w:ascii="Times New Roman" w:eastAsia="Times New Roman" w:hAnsi="Times New Roman" w:cs="Times New Roman"/>
                <w:sz w:val="24"/>
                <w:szCs w:val="24"/>
                <w:lang w:eastAsia="pt-BR"/>
              </w:rPr>
            </w:pPr>
            <w:r w:rsidRPr="003610A1">
              <w:rPr>
                <w:rFonts w:ascii="Arial" w:eastAsia="Times New Roman" w:hAnsi="Arial" w:cs="Arial"/>
                <w:sz w:val="20"/>
                <w:szCs w:val="20"/>
                <w:lang w:eastAsia="pt-BR"/>
              </w:rPr>
              <w:t>b) Identificação dos envolvidos a contar do início do processo;</w:t>
            </w:r>
          </w:p>
          <w:p w:rsidR="00B75C56" w:rsidRPr="003610A1" w:rsidRDefault="00B75C56" w:rsidP="003610A1">
            <w:pPr>
              <w:spacing w:before="240" w:after="0" w:line="240" w:lineRule="auto"/>
              <w:jc w:val="both"/>
              <w:rPr>
                <w:rFonts w:ascii="Times New Roman" w:eastAsia="Times New Roman" w:hAnsi="Times New Roman" w:cs="Times New Roman"/>
                <w:sz w:val="24"/>
                <w:szCs w:val="24"/>
                <w:lang w:eastAsia="pt-BR"/>
              </w:rPr>
            </w:pPr>
            <w:r w:rsidRPr="003610A1">
              <w:rPr>
                <w:rFonts w:ascii="Arial" w:eastAsia="Times New Roman" w:hAnsi="Arial" w:cs="Arial"/>
                <w:sz w:val="20"/>
                <w:szCs w:val="20"/>
                <w:lang w:eastAsia="pt-BR"/>
              </w:rPr>
              <w:t>c) Estudo Técnico com a viabilidade para o enquadramento.</w:t>
            </w:r>
          </w:p>
        </w:tc>
        <w:tc>
          <w:tcPr>
            <w:tcW w:w="16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3610A1" w:rsidRDefault="00B75C56" w:rsidP="00B75C56">
            <w:pPr>
              <w:spacing w:before="240" w:after="0" w:line="240" w:lineRule="auto"/>
              <w:rPr>
                <w:rFonts w:ascii="Times New Roman" w:eastAsia="Times New Roman" w:hAnsi="Times New Roman" w:cs="Times New Roman"/>
                <w:sz w:val="24"/>
                <w:szCs w:val="24"/>
                <w:lang w:eastAsia="pt-BR"/>
              </w:rPr>
            </w:pPr>
            <w:r w:rsidRPr="003610A1">
              <w:rPr>
                <w:rFonts w:ascii="Arial" w:eastAsia="Times New Roman" w:hAnsi="Arial" w:cs="Arial"/>
                <w:sz w:val="20"/>
                <w:szCs w:val="20"/>
                <w:lang w:eastAsia="pt-BR"/>
              </w:rPr>
              <w:t>Curto, Médio e Longo Prazo</w:t>
            </w:r>
          </w:p>
        </w:tc>
      </w:tr>
      <w:tr w:rsidR="00B75C56" w:rsidRPr="00B75C56" w:rsidTr="00B75C56">
        <w:trPr>
          <w:trHeight w:val="2109"/>
        </w:trPr>
        <w:tc>
          <w:tcPr>
            <w:tcW w:w="168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75C56" w:rsidRPr="003610A1" w:rsidRDefault="00B75C56" w:rsidP="00B75C56">
            <w:pPr>
              <w:spacing w:before="240" w:after="0" w:line="240" w:lineRule="auto"/>
              <w:rPr>
                <w:rFonts w:ascii="Times New Roman" w:eastAsia="Times New Roman" w:hAnsi="Times New Roman" w:cs="Times New Roman"/>
                <w:sz w:val="24"/>
                <w:szCs w:val="24"/>
                <w:lang w:eastAsia="pt-BR"/>
              </w:rPr>
            </w:pPr>
            <w:r w:rsidRPr="003610A1">
              <w:rPr>
                <w:rFonts w:ascii="Arial" w:eastAsia="Times New Roman" w:hAnsi="Arial" w:cs="Arial"/>
                <w:sz w:val="20"/>
                <w:szCs w:val="20"/>
                <w:lang w:eastAsia="pt-BR"/>
              </w:rPr>
              <w:t xml:space="preserve">3. </w:t>
            </w:r>
            <w:proofErr w:type="spellStart"/>
            <w:r w:rsidRPr="003610A1">
              <w:rPr>
                <w:rFonts w:ascii="Arial" w:eastAsia="Times New Roman" w:hAnsi="Arial" w:cs="Arial"/>
                <w:sz w:val="20"/>
                <w:szCs w:val="20"/>
                <w:lang w:eastAsia="pt-BR"/>
              </w:rPr>
              <w:t>Desenquadramento</w:t>
            </w:r>
            <w:proofErr w:type="spellEnd"/>
            <w:r w:rsidRPr="003610A1">
              <w:rPr>
                <w:rFonts w:ascii="Arial" w:eastAsia="Times New Roman" w:hAnsi="Arial" w:cs="Arial"/>
                <w:sz w:val="20"/>
                <w:szCs w:val="20"/>
                <w:lang w:eastAsia="pt-BR"/>
              </w:rPr>
              <w:t xml:space="preserve"> da Política de Investimentos</w:t>
            </w:r>
          </w:p>
        </w:tc>
        <w:tc>
          <w:tcPr>
            <w:tcW w:w="1671" w:type="pct"/>
            <w:tcBorders>
              <w:top w:val="nil"/>
              <w:left w:val="nil"/>
              <w:bottom w:val="single" w:sz="8" w:space="0" w:color="auto"/>
              <w:right w:val="single" w:sz="8" w:space="0" w:color="auto"/>
            </w:tcBorders>
            <w:tcMar>
              <w:top w:w="0" w:type="dxa"/>
              <w:left w:w="108" w:type="dxa"/>
              <w:bottom w:w="0" w:type="dxa"/>
              <w:right w:w="108" w:type="dxa"/>
            </w:tcMar>
            <w:hideMark/>
          </w:tcPr>
          <w:p w:rsidR="00B75C56" w:rsidRPr="003610A1" w:rsidRDefault="00B75C56" w:rsidP="003610A1">
            <w:pPr>
              <w:spacing w:before="240" w:after="0" w:line="240" w:lineRule="auto"/>
              <w:jc w:val="both"/>
              <w:rPr>
                <w:rFonts w:ascii="Times New Roman" w:eastAsia="Times New Roman" w:hAnsi="Times New Roman" w:cs="Times New Roman"/>
                <w:sz w:val="24"/>
                <w:szCs w:val="24"/>
                <w:lang w:eastAsia="pt-BR"/>
              </w:rPr>
            </w:pPr>
            <w:r w:rsidRPr="003610A1">
              <w:rPr>
                <w:rFonts w:ascii="Arial" w:eastAsia="Times New Roman" w:hAnsi="Arial" w:cs="Arial"/>
                <w:sz w:val="20"/>
                <w:szCs w:val="20"/>
                <w:lang w:eastAsia="pt-BR"/>
              </w:rPr>
              <w:t xml:space="preserve">a) </w:t>
            </w:r>
            <w:proofErr w:type="gramStart"/>
            <w:r w:rsidRPr="003610A1">
              <w:rPr>
                <w:rFonts w:ascii="Arial" w:eastAsia="Times New Roman" w:hAnsi="Arial" w:cs="Arial"/>
                <w:sz w:val="20"/>
                <w:szCs w:val="20"/>
                <w:lang w:eastAsia="pt-BR"/>
              </w:rPr>
              <w:t>Apuração das causas acompanhado de relatório</w:t>
            </w:r>
            <w:proofErr w:type="gramEnd"/>
            <w:r w:rsidRPr="003610A1">
              <w:rPr>
                <w:rFonts w:ascii="Arial" w:eastAsia="Times New Roman" w:hAnsi="Arial" w:cs="Arial"/>
                <w:sz w:val="20"/>
                <w:szCs w:val="20"/>
                <w:lang w:eastAsia="pt-BR"/>
              </w:rPr>
              <w:t>;</w:t>
            </w:r>
          </w:p>
          <w:p w:rsidR="00B75C56" w:rsidRPr="003610A1" w:rsidRDefault="00B75C56" w:rsidP="003610A1">
            <w:pPr>
              <w:spacing w:before="240" w:after="0" w:line="240" w:lineRule="auto"/>
              <w:jc w:val="both"/>
              <w:rPr>
                <w:rFonts w:ascii="Times New Roman" w:eastAsia="Times New Roman" w:hAnsi="Times New Roman" w:cs="Times New Roman"/>
                <w:sz w:val="24"/>
                <w:szCs w:val="24"/>
                <w:lang w:eastAsia="pt-BR"/>
              </w:rPr>
            </w:pPr>
            <w:r w:rsidRPr="003610A1">
              <w:rPr>
                <w:rFonts w:ascii="Arial" w:eastAsia="Times New Roman" w:hAnsi="Arial" w:cs="Arial"/>
                <w:sz w:val="20"/>
                <w:szCs w:val="20"/>
                <w:lang w:eastAsia="pt-BR"/>
              </w:rPr>
              <w:t>b) Identificação dos envolvidos a contar do início do processo;</w:t>
            </w:r>
          </w:p>
          <w:p w:rsidR="00B75C56" w:rsidRPr="003610A1" w:rsidRDefault="00B75C56" w:rsidP="003610A1">
            <w:pPr>
              <w:spacing w:before="240" w:after="0" w:line="240" w:lineRule="auto"/>
              <w:jc w:val="both"/>
              <w:rPr>
                <w:rFonts w:ascii="Times New Roman" w:eastAsia="Times New Roman" w:hAnsi="Times New Roman" w:cs="Times New Roman"/>
                <w:sz w:val="24"/>
                <w:szCs w:val="24"/>
                <w:lang w:eastAsia="pt-BR"/>
              </w:rPr>
            </w:pPr>
            <w:r w:rsidRPr="003610A1">
              <w:rPr>
                <w:rFonts w:ascii="Arial" w:eastAsia="Times New Roman" w:hAnsi="Arial" w:cs="Arial"/>
                <w:sz w:val="20"/>
                <w:szCs w:val="20"/>
                <w:lang w:eastAsia="pt-BR"/>
              </w:rPr>
              <w:t>c) Estudo Técnico com a viabilidade para o enquadramento.</w:t>
            </w:r>
          </w:p>
        </w:tc>
        <w:tc>
          <w:tcPr>
            <w:tcW w:w="16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3610A1" w:rsidRDefault="00B75C56" w:rsidP="00B75C56">
            <w:pPr>
              <w:spacing w:before="240" w:after="0" w:line="240" w:lineRule="auto"/>
              <w:rPr>
                <w:rFonts w:ascii="Times New Roman" w:eastAsia="Times New Roman" w:hAnsi="Times New Roman" w:cs="Times New Roman"/>
                <w:sz w:val="24"/>
                <w:szCs w:val="24"/>
                <w:lang w:eastAsia="pt-BR"/>
              </w:rPr>
            </w:pPr>
            <w:r w:rsidRPr="003610A1">
              <w:rPr>
                <w:rFonts w:ascii="Arial" w:eastAsia="Times New Roman" w:hAnsi="Arial" w:cs="Arial"/>
                <w:sz w:val="20"/>
                <w:szCs w:val="20"/>
                <w:lang w:eastAsia="pt-BR"/>
              </w:rPr>
              <w:t>Curto, Médio e Longo Prazo</w:t>
            </w:r>
          </w:p>
        </w:tc>
      </w:tr>
      <w:tr w:rsidR="00B75C56" w:rsidRPr="00B75C56" w:rsidTr="00B75C56">
        <w:trPr>
          <w:trHeight w:val="3269"/>
        </w:trPr>
        <w:tc>
          <w:tcPr>
            <w:tcW w:w="168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75C56" w:rsidRPr="003610A1" w:rsidRDefault="00B75C56" w:rsidP="003610A1">
            <w:pPr>
              <w:spacing w:before="240" w:after="0" w:line="240" w:lineRule="auto"/>
              <w:jc w:val="both"/>
              <w:rPr>
                <w:rFonts w:ascii="Times New Roman" w:eastAsia="Times New Roman" w:hAnsi="Times New Roman" w:cs="Times New Roman"/>
                <w:sz w:val="24"/>
                <w:szCs w:val="24"/>
                <w:lang w:eastAsia="pt-BR"/>
              </w:rPr>
            </w:pPr>
            <w:r w:rsidRPr="003610A1">
              <w:rPr>
                <w:rFonts w:ascii="Arial" w:eastAsia="Times New Roman" w:hAnsi="Arial" w:cs="Arial"/>
                <w:sz w:val="20"/>
                <w:szCs w:val="20"/>
                <w:lang w:eastAsia="pt-BR"/>
              </w:rPr>
              <w:lastRenderedPageBreak/>
              <w:t>4. Movimentações Financeiras não autorizadas</w:t>
            </w:r>
          </w:p>
        </w:tc>
        <w:tc>
          <w:tcPr>
            <w:tcW w:w="1671" w:type="pct"/>
            <w:tcBorders>
              <w:top w:val="nil"/>
              <w:left w:val="nil"/>
              <w:bottom w:val="single" w:sz="8" w:space="0" w:color="auto"/>
              <w:right w:val="single" w:sz="8" w:space="0" w:color="auto"/>
            </w:tcBorders>
            <w:tcMar>
              <w:top w:w="0" w:type="dxa"/>
              <w:left w:w="108" w:type="dxa"/>
              <w:bottom w:w="0" w:type="dxa"/>
              <w:right w:w="108" w:type="dxa"/>
            </w:tcMar>
            <w:hideMark/>
          </w:tcPr>
          <w:p w:rsidR="00B75C56" w:rsidRPr="003610A1" w:rsidRDefault="00B75C56" w:rsidP="003610A1">
            <w:pPr>
              <w:spacing w:before="240" w:after="0" w:line="240" w:lineRule="auto"/>
              <w:jc w:val="both"/>
              <w:rPr>
                <w:rFonts w:ascii="Times New Roman" w:eastAsia="Times New Roman" w:hAnsi="Times New Roman" w:cs="Times New Roman"/>
                <w:sz w:val="24"/>
                <w:szCs w:val="24"/>
                <w:lang w:eastAsia="pt-BR"/>
              </w:rPr>
            </w:pPr>
            <w:r w:rsidRPr="003610A1">
              <w:rPr>
                <w:rFonts w:ascii="Arial" w:eastAsia="Times New Roman" w:hAnsi="Arial" w:cs="Arial"/>
                <w:sz w:val="20"/>
                <w:szCs w:val="20"/>
                <w:lang w:eastAsia="pt-BR"/>
              </w:rPr>
              <w:t xml:space="preserve">a) </w:t>
            </w:r>
            <w:proofErr w:type="gramStart"/>
            <w:r w:rsidRPr="003610A1">
              <w:rPr>
                <w:rFonts w:ascii="Arial" w:eastAsia="Times New Roman" w:hAnsi="Arial" w:cs="Arial"/>
                <w:sz w:val="20"/>
                <w:szCs w:val="20"/>
                <w:lang w:eastAsia="pt-BR"/>
              </w:rPr>
              <w:t>Apuração das causas acompanhado de relatório</w:t>
            </w:r>
            <w:proofErr w:type="gramEnd"/>
            <w:r w:rsidRPr="003610A1">
              <w:rPr>
                <w:rFonts w:ascii="Arial" w:eastAsia="Times New Roman" w:hAnsi="Arial" w:cs="Arial"/>
                <w:sz w:val="20"/>
                <w:szCs w:val="20"/>
                <w:lang w:eastAsia="pt-BR"/>
              </w:rPr>
              <w:t>;</w:t>
            </w:r>
          </w:p>
          <w:p w:rsidR="00B75C56" w:rsidRPr="003610A1" w:rsidRDefault="00B75C56" w:rsidP="003610A1">
            <w:pPr>
              <w:spacing w:before="240" w:after="0" w:line="240" w:lineRule="auto"/>
              <w:jc w:val="both"/>
              <w:rPr>
                <w:rFonts w:ascii="Times New Roman" w:eastAsia="Times New Roman" w:hAnsi="Times New Roman" w:cs="Times New Roman"/>
                <w:sz w:val="24"/>
                <w:szCs w:val="24"/>
                <w:lang w:eastAsia="pt-BR"/>
              </w:rPr>
            </w:pPr>
            <w:r w:rsidRPr="003610A1">
              <w:rPr>
                <w:rFonts w:ascii="Arial" w:eastAsia="Times New Roman" w:hAnsi="Arial" w:cs="Arial"/>
                <w:sz w:val="20"/>
                <w:szCs w:val="20"/>
                <w:lang w:eastAsia="pt-BR"/>
              </w:rPr>
              <w:t>b) Identificação dos envolvidos a contar do início do processo;</w:t>
            </w:r>
          </w:p>
          <w:p w:rsidR="00B75C56" w:rsidRPr="003610A1" w:rsidRDefault="00B75C56" w:rsidP="003610A1">
            <w:pPr>
              <w:spacing w:before="240" w:after="0" w:line="240" w:lineRule="auto"/>
              <w:jc w:val="both"/>
              <w:rPr>
                <w:rFonts w:ascii="Times New Roman" w:eastAsia="Times New Roman" w:hAnsi="Times New Roman" w:cs="Times New Roman"/>
                <w:sz w:val="24"/>
                <w:szCs w:val="24"/>
                <w:lang w:eastAsia="pt-BR"/>
              </w:rPr>
            </w:pPr>
            <w:r w:rsidRPr="003610A1">
              <w:rPr>
                <w:rFonts w:ascii="Arial" w:eastAsia="Times New Roman" w:hAnsi="Arial" w:cs="Arial"/>
                <w:sz w:val="20"/>
                <w:szCs w:val="20"/>
                <w:lang w:eastAsia="pt-BR"/>
              </w:rPr>
              <w:t>c) Estudo Técnico com a viabilidade para resolução;</w:t>
            </w:r>
          </w:p>
          <w:p w:rsidR="00B75C56" w:rsidRPr="003610A1" w:rsidRDefault="00B75C56" w:rsidP="003610A1">
            <w:pPr>
              <w:spacing w:before="240" w:after="0" w:line="240" w:lineRule="auto"/>
              <w:jc w:val="both"/>
              <w:rPr>
                <w:rFonts w:ascii="Times New Roman" w:eastAsia="Times New Roman" w:hAnsi="Times New Roman" w:cs="Times New Roman"/>
                <w:sz w:val="24"/>
                <w:szCs w:val="24"/>
                <w:lang w:eastAsia="pt-BR"/>
              </w:rPr>
            </w:pPr>
            <w:r w:rsidRPr="003610A1">
              <w:rPr>
                <w:rFonts w:ascii="Arial" w:eastAsia="Times New Roman" w:hAnsi="Arial" w:cs="Arial"/>
                <w:sz w:val="20"/>
                <w:szCs w:val="20"/>
                <w:lang w:eastAsia="pt-BR"/>
              </w:rPr>
              <w:t>d) Ações e Medidas, se necessárias, judiciais para a responsabilização dos responsáveis.</w:t>
            </w:r>
          </w:p>
        </w:tc>
        <w:tc>
          <w:tcPr>
            <w:tcW w:w="16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75C56" w:rsidRPr="003610A1" w:rsidRDefault="00B75C56" w:rsidP="003610A1">
            <w:pPr>
              <w:spacing w:before="240" w:after="0" w:line="240" w:lineRule="auto"/>
              <w:jc w:val="both"/>
              <w:rPr>
                <w:rFonts w:ascii="Times New Roman" w:eastAsia="Times New Roman" w:hAnsi="Times New Roman" w:cs="Times New Roman"/>
                <w:sz w:val="24"/>
                <w:szCs w:val="24"/>
                <w:lang w:eastAsia="pt-BR"/>
              </w:rPr>
            </w:pPr>
            <w:r w:rsidRPr="003610A1">
              <w:rPr>
                <w:rFonts w:ascii="Arial" w:eastAsia="Times New Roman" w:hAnsi="Arial" w:cs="Arial"/>
                <w:sz w:val="20"/>
                <w:szCs w:val="20"/>
                <w:lang w:eastAsia="pt-BR"/>
              </w:rPr>
              <w:t>Curto, Médio e Longo Prazo</w:t>
            </w:r>
          </w:p>
        </w:tc>
      </w:tr>
    </w:tbl>
    <w:p w:rsidR="003610A1" w:rsidRDefault="003610A1" w:rsidP="00B75C56">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pt-BR"/>
        </w:rPr>
      </w:pPr>
      <w:bookmarkStart w:id="119" w:name="_Toc20130627"/>
    </w:p>
    <w:p w:rsidR="00B75C56" w:rsidRPr="003610A1" w:rsidRDefault="00B75C56" w:rsidP="00B75C56">
      <w:pPr>
        <w:spacing w:before="100" w:beforeAutospacing="1" w:after="100" w:afterAutospacing="1" w:line="240" w:lineRule="auto"/>
        <w:outlineLvl w:val="1"/>
        <w:rPr>
          <w:rFonts w:ascii="Arial" w:eastAsia="Times New Roman" w:hAnsi="Arial" w:cs="Arial"/>
          <w:b/>
          <w:bCs/>
          <w:lang w:eastAsia="pt-BR"/>
        </w:rPr>
      </w:pPr>
      <w:r w:rsidRPr="003610A1">
        <w:rPr>
          <w:rFonts w:ascii="Arial" w:eastAsia="Times New Roman" w:hAnsi="Arial" w:cs="Arial"/>
          <w:b/>
          <w:bCs/>
          <w:lang w:eastAsia="pt-BR"/>
        </w:rPr>
        <w:t>13.2    POTENCIAIS PERDAS DOS RECURSOS</w:t>
      </w:r>
      <w:bookmarkEnd w:id="119"/>
    </w:p>
    <w:p w:rsidR="00B75C56" w:rsidRPr="003610A1" w:rsidRDefault="00B75C56" w:rsidP="00B75C56">
      <w:pPr>
        <w:spacing w:before="240" w:after="100" w:afterAutospacing="1" w:line="240" w:lineRule="auto"/>
        <w:rPr>
          <w:rFonts w:ascii="Times New Roman" w:eastAsia="Times New Roman" w:hAnsi="Times New Roman" w:cs="Times New Roman"/>
          <w:sz w:val="24"/>
          <w:szCs w:val="24"/>
          <w:lang w:eastAsia="pt-BR"/>
        </w:rPr>
      </w:pPr>
      <w:proofErr w:type="gramStart"/>
      <w:r w:rsidRPr="003610A1">
        <w:rPr>
          <w:rFonts w:ascii="Arial" w:eastAsia="Times New Roman" w:hAnsi="Arial" w:cs="Arial"/>
          <w:sz w:val="20"/>
          <w:szCs w:val="20"/>
          <w:lang w:eastAsia="pt-BR"/>
        </w:rPr>
        <w:t>Entende</w:t>
      </w:r>
      <w:proofErr w:type="gramEnd"/>
      <w:r w:rsidRPr="003610A1">
        <w:rPr>
          <w:rFonts w:ascii="Arial" w:eastAsia="Times New Roman" w:hAnsi="Arial" w:cs="Arial"/>
          <w:sz w:val="20"/>
          <w:szCs w:val="20"/>
          <w:lang w:eastAsia="pt-BR"/>
        </w:rPr>
        <w:t xml:space="preserve"> como potencias perdas dos recursos os volumes expressivos provenientes de fundos de investimentos diretamente atrelados aos riscos de mercado, crédito e liquidez.</w:t>
      </w:r>
    </w:p>
    <w:tbl>
      <w:tblPr>
        <w:tblW w:w="5000" w:type="pct"/>
        <w:tblCellMar>
          <w:left w:w="0" w:type="dxa"/>
          <w:right w:w="0" w:type="dxa"/>
        </w:tblCellMar>
        <w:tblLook w:val="04A0"/>
      </w:tblPr>
      <w:tblGrid>
        <w:gridCol w:w="3131"/>
        <w:gridCol w:w="3104"/>
        <w:gridCol w:w="3052"/>
      </w:tblGrid>
      <w:tr w:rsidR="00B75C56" w:rsidRPr="003610A1" w:rsidTr="00B75C56">
        <w:tc>
          <w:tcPr>
            <w:tcW w:w="16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75C56" w:rsidRDefault="00B75C56" w:rsidP="00B75C56">
            <w:pPr>
              <w:spacing w:before="240" w:after="0" w:line="240" w:lineRule="auto"/>
              <w:jc w:val="center"/>
              <w:rPr>
                <w:rFonts w:ascii="Arial" w:eastAsia="Times New Roman" w:hAnsi="Arial" w:cs="Arial"/>
                <w:b/>
                <w:bCs/>
                <w:sz w:val="20"/>
                <w:szCs w:val="20"/>
                <w:lang w:eastAsia="pt-BR"/>
              </w:rPr>
            </w:pPr>
            <w:r w:rsidRPr="003610A1">
              <w:rPr>
                <w:rFonts w:ascii="Arial" w:eastAsia="Times New Roman" w:hAnsi="Arial" w:cs="Arial"/>
                <w:b/>
                <w:bCs/>
                <w:sz w:val="20"/>
                <w:szCs w:val="20"/>
                <w:lang w:eastAsia="pt-BR"/>
              </w:rPr>
              <w:t>Contingências</w:t>
            </w:r>
          </w:p>
          <w:p w:rsidR="003610A1" w:rsidRPr="003610A1" w:rsidRDefault="003610A1" w:rsidP="00B75C56">
            <w:pPr>
              <w:spacing w:before="240" w:after="0" w:line="240" w:lineRule="auto"/>
              <w:jc w:val="center"/>
              <w:rPr>
                <w:rFonts w:ascii="Times New Roman" w:eastAsia="Times New Roman" w:hAnsi="Times New Roman" w:cs="Times New Roman"/>
                <w:sz w:val="16"/>
                <w:szCs w:val="16"/>
                <w:lang w:eastAsia="pt-BR"/>
              </w:rPr>
            </w:pPr>
          </w:p>
        </w:tc>
        <w:tc>
          <w:tcPr>
            <w:tcW w:w="16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5C56" w:rsidRPr="003610A1" w:rsidRDefault="00B75C56" w:rsidP="00B75C56">
            <w:pPr>
              <w:spacing w:before="240" w:after="0" w:line="240" w:lineRule="auto"/>
              <w:jc w:val="center"/>
              <w:rPr>
                <w:rFonts w:ascii="Times New Roman" w:eastAsia="Times New Roman" w:hAnsi="Times New Roman" w:cs="Times New Roman"/>
                <w:sz w:val="24"/>
                <w:szCs w:val="24"/>
                <w:lang w:eastAsia="pt-BR"/>
              </w:rPr>
            </w:pPr>
            <w:r w:rsidRPr="003610A1">
              <w:rPr>
                <w:rFonts w:ascii="Arial" w:eastAsia="Times New Roman" w:hAnsi="Arial" w:cs="Arial"/>
                <w:b/>
                <w:bCs/>
                <w:sz w:val="20"/>
                <w:szCs w:val="20"/>
                <w:lang w:eastAsia="pt-BR"/>
              </w:rPr>
              <w:t>Medidas</w:t>
            </w:r>
          </w:p>
        </w:tc>
        <w:tc>
          <w:tcPr>
            <w:tcW w:w="16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5C56" w:rsidRPr="003610A1" w:rsidRDefault="00B75C56" w:rsidP="00B75C56">
            <w:pPr>
              <w:spacing w:before="240" w:after="0" w:line="240" w:lineRule="auto"/>
              <w:jc w:val="center"/>
              <w:rPr>
                <w:rFonts w:ascii="Times New Roman" w:eastAsia="Times New Roman" w:hAnsi="Times New Roman" w:cs="Times New Roman"/>
                <w:sz w:val="24"/>
                <w:szCs w:val="24"/>
                <w:lang w:eastAsia="pt-BR"/>
              </w:rPr>
            </w:pPr>
            <w:r w:rsidRPr="003610A1">
              <w:rPr>
                <w:rFonts w:ascii="Arial" w:eastAsia="Times New Roman" w:hAnsi="Arial" w:cs="Arial"/>
                <w:b/>
                <w:bCs/>
                <w:sz w:val="20"/>
                <w:szCs w:val="20"/>
                <w:lang w:eastAsia="pt-BR"/>
              </w:rPr>
              <w:t>Resolução</w:t>
            </w:r>
          </w:p>
        </w:tc>
      </w:tr>
      <w:tr w:rsidR="00B75C56" w:rsidRPr="003610A1" w:rsidTr="00B75C56">
        <w:tc>
          <w:tcPr>
            <w:tcW w:w="16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5C56" w:rsidRPr="003610A1" w:rsidRDefault="00B75C56" w:rsidP="00B75C56">
            <w:pPr>
              <w:spacing w:before="240" w:after="0" w:line="240" w:lineRule="auto"/>
              <w:rPr>
                <w:rFonts w:ascii="Times New Roman" w:eastAsia="Times New Roman" w:hAnsi="Times New Roman" w:cs="Times New Roman"/>
                <w:sz w:val="24"/>
                <w:szCs w:val="24"/>
                <w:lang w:eastAsia="pt-BR"/>
              </w:rPr>
            </w:pPr>
            <w:r w:rsidRPr="003610A1">
              <w:rPr>
                <w:rFonts w:ascii="Arial" w:eastAsia="Times New Roman" w:hAnsi="Arial" w:cs="Arial"/>
                <w:sz w:val="20"/>
                <w:szCs w:val="20"/>
                <w:lang w:eastAsia="pt-BR"/>
              </w:rPr>
              <w:t>1. Potenciais perdas de recursos</w:t>
            </w:r>
          </w:p>
        </w:tc>
        <w:tc>
          <w:tcPr>
            <w:tcW w:w="1671" w:type="pct"/>
            <w:tcBorders>
              <w:top w:val="nil"/>
              <w:left w:val="nil"/>
              <w:bottom w:val="single" w:sz="8" w:space="0" w:color="auto"/>
              <w:right w:val="single" w:sz="8" w:space="0" w:color="auto"/>
            </w:tcBorders>
            <w:tcMar>
              <w:top w:w="0" w:type="dxa"/>
              <w:left w:w="108" w:type="dxa"/>
              <w:bottom w:w="0" w:type="dxa"/>
              <w:right w:w="108" w:type="dxa"/>
            </w:tcMar>
            <w:hideMark/>
          </w:tcPr>
          <w:p w:rsidR="00B75C56" w:rsidRPr="003610A1" w:rsidRDefault="00B75C56" w:rsidP="003610A1">
            <w:pPr>
              <w:spacing w:before="240" w:after="0" w:line="240" w:lineRule="auto"/>
              <w:jc w:val="both"/>
              <w:rPr>
                <w:rFonts w:ascii="Times New Roman" w:eastAsia="Times New Roman" w:hAnsi="Times New Roman" w:cs="Times New Roman"/>
                <w:sz w:val="24"/>
                <w:szCs w:val="24"/>
                <w:lang w:eastAsia="pt-BR"/>
              </w:rPr>
            </w:pPr>
            <w:r w:rsidRPr="003610A1">
              <w:rPr>
                <w:rFonts w:ascii="Arial" w:eastAsia="Times New Roman" w:hAnsi="Arial" w:cs="Arial"/>
                <w:sz w:val="20"/>
                <w:szCs w:val="20"/>
                <w:lang w:eastAsia="pt-BR"/>
              </w:rPr>
              <w:t xml:space="preserve">a) </w:t>
            </w:r>
            <w:proofErr w:type="gramStart"/>
            <w:r w:rsidRPr="003610A1">
              <w:rPr>
                <w:rFonts w:ascii="Arial" w:eastAsia="Times New Roman" w:hAnsi="Arial" w:cs="Arial"/>
                <w:sz w:val="20"/>
                <w:szCs w:val="20"/>
                <w:lang w:eastAsia="pt-BR"/>
              </w:rPr>
              <w:t>Apuração das causas acompanhado de relatório</w:t>
            </w:r>
            <w:proofErr w:type="gramEnd"/>
            <w:r w:rsidRPr="003610A1">
              <w:rPr>
                <w:rFonts w:ascii="Arial" w:eastAsia="Times New Roman" w:hAnsi="Arial" w:cs="Arial"/>
                <w:sz w:val="20"/>
                <w:szCs w:val="20"/>
                <w:lang w:eastAsia="pt-BR"/>
              </w:rPr>
              <w:t>;</w:t>
            </w:r>
          </w:p>
          <w:p w:rsidR="00B75C56" w:rsidRPr="003610A1" w:rsidRDefault="00B75C56" w:rsidP="003610A1">
            <w:pPr>
              <w:spacing w:before="240" w:after="0" w:line="240" w:lineRule="auto"/>
              <w:jc w:val="both"/>
              <w:rPr>
                <w:rFonts w:ascii="Times New Roman" w:eastAsia="Times New Roman" w:hAnsi="Times New Roman" w:cs="Times New Roman"/>
                <w:sz w:val="24"/>
                <w:szCs w:val="24"/>
                <w:lang w:eastAsia="pt-BR"/>
              </w:rPr>
            </w:pPr>
            <w:r w:rsidRPr="003610A1">
              <w:rPr>
                <w:rFonts w:ascii="Arial" w:eastAsia="Times New Roman" w:hAnsi="Arial" w:cs="Arial"/>
                <w:sz w:val="20"/>
                <w:szCs w:val="20"/>
                <w:lang w:eastAsia="pt-BR"/>
              </w:rPr>
              <w:t>b) Identificação dos envolvidos a contar do início do processo;</w:t>
            </w:r>
          </w:p>
          <w:p w:rsidR="00B75C56" w:rsidRPr="003610A1" w:rsidRDefault="00B75C56" w:rsidP="003610A1">
            <w:pPr>
              <w:spacing w:before="240" w:after="0" w:line="240" w:lineRule="auto"/>
              <w:jc w:val="both"/>
              <w:rPr>
                <w:rFonts w:ascii="Times New Roman" w:eastAsia="Times New Roman" w:hAnsi="Times New Roman" w:cs="Times New Roman"/>
                <w:sz w:val="24"/>
                <w:szCs w:val="24"/>
                <w:lang w:eastAsia="pt-BR"/>
              </w:rPr>
            </w:pPr>
            <w:r w:rsidRPr="003610A1">
              <w:rPr>
                <w:rFonts w:ascii="Arial" w:eastAsia="Times New Roman" w:hAnsi="Arial" w:cs="Arial"/>
                <w:sz w:val="20"/>
                <w:szCs w:val="20"/>
                <w:lang w:eastAsia="pt-BR"/>
              </w:rPr>
              <w:t>c) Estudo Técnico com a viabilidade administrativa, financeira e se for o caso, jurídica.</w:t>
            </w:r>
          </w:p>
        </w:tc>
        <w:tc>
          <w:tcPr>
            <w:tcW w:w="1643" w:type="pct"/>
            <w:tcBorders>
              <w:top w:val="nil"/>
              <w:left w:val="nil"/>
              <w:bottom w:val="single" w:sz="8" w:space="0" w:color="auto"/>
              <w:right w:val="single" w:sz="8" w:space="0" w:color="auto"/>
            </w:tcBorders>
            <w:tcMar>
              <w:top w:w="0" w:type="dxa"/>
              <w:left w:w="108" w:type="dxa"/>
              <w:bottom w:w="0" w:type="dxa"/>
              <w:right w:w="108" w:type="dxa"/>
            </w:tcMar>
            <w:hideMark/>
          </w:tcPr>
          <w:p w:rsidR="00B75C56" w:rsidRPr="003610A1" w:rsidRDefault="00B75C56" w:rsidP="00B75C56">
            <w:pPr>
              <w:spacing w:before="240" w:after="0" w:line="240" w:lineRule="auto"/>
              <w:rPr>
                <w:rFonts w:ascii="Times New Roman" w:eastAsia="Times New Roman" w:hAnsi="Times New Roman" w:cs="Times New Roman"/>
                <w:sz w:val="24"/>
                <w:szCs w:val="24"/>
                <w:lang w:eastAsia="pt-BR"/>
              </w:rPr>
            </w:pPr>
            <w:r w:rsidRPr="003610A1">
              <w:rPr>
                <w:rFonts w:ascii="Arial" w:eastAsia="Times New Roman" w:hAnsi="Arial" w:cs="Arial"/>
                <w:sz w:val="20"/>
                <w:szCs w:val="20"/>
                <w:lang w:eastAsia="pt-BR"/>
              </w:rPr>
              <w:t>Curto, Médio e Longo Prazo</w:t>
            </w:r>
          </w:p>
        </w:tc>
      </w:tr>
    </w:tbl>
    <w:p w:rsidR="00B75C56" w:rsidRPr="00B75C56" w:rsidRDefault="00B75C56" w:rsidP="00B75C56">
      <w:pPr>
        <w:spacing w:before="240" w:after="100" w:afterAutospacing="1" w:line="240" w:lineRule="auto"/>
        <w:rPr>
          <w:rFonts w:ascii="Times New Roman" w:eastAsia="Times New Roman" w:hAnsi="Times New Roman" w:cs="Times New Roman"/>
          <w:color w:val="FF0000"/>
          <w:sz w:val="24"/>
          <w:szCs w:val="24"/>
          <w:lang w:eastAsia="pt-BR"/>
        </w:rPr>
      </w:pPr>
      <w:r w:rsidRPr="00B75C56">
        <w:rPr>
          <w:rFonts w:ascii="Arial" w:eastAsia="Times New Roman" w:hAnsi="Arial" w:cs="Arial"/>
          <w:color w:val="FF0000"/>
          <w:sz w:val="20"/>
          <w:szCs w:val="20"/>
          <w:lang w:eastAsia="pt-BR"/>
        </w:rPr>
        <w:t>  </w:t>
      </w:r>
    </w:p>
    <w:p w:rsidR="00B75C56" w:rsidRPr="006F12B6" w:rsidRDefault="00B75C56" w:rsidP="00B75C56">
      <w:pPr>
        <w:spacing w:before="100" w:beforeAutospacing="1" w:after="100" w:afterAutospacing="1" w:line="240" w:lineRule="auto"/>
        <w:outlineLvl w:val="0"/>
        <w:rPr>
          <w:rFonts w:ascii="Times New Roman" w:eastAsia="Times New Roman" w:hAnsi="Times New Roman" w:cs="Times New Roman"/>
          <w:b/>
          <w:bCs/>
          <w:kern w:val="36"/>
          <w:sz w:val="48"/>
          <w:szCs w:val="48"/>
          <w:lang w:eastAsia="pt-BR"/>
        </w:rPr>
      </w:pPr>
      <w:bookmarkStart w:id="120" w:name="_Toc20130628"/>
      <w:r w:rsidRPr="006F12B6">
        <w:rPr>
          <w:rFonts w:ascii="Arial" w:eastAsia="Times New Roman" w:hAnsi="Arial" w:cs="Arial"/>
          <w:b/>
          <w:bCs/>
          <w:kern w:val="36"/>
          <w:lang w:eastAsia="pt-BR"/>
        </w:rPr>
        <w:t>14</w:t>
      </w:r>
      <w:r w:rsidRPr="006F12B6">
        <w:rPr>
          <w:rFonts w:ascii="Times New Roman" w:eastAsia="Times New Roman" w:hAnsi="Times New Roman" w:cs="Times New Roman"/>
          <w:b/>
          <w:bCs/>
          <w:kern w:val="36"/>
          <w:sz w:val="14"/>
          <w:szCs w:val="14"/>
          <w:lang w:eastAsia="pt-BR"/>
        </w:rPr>
        <w:t>    </w:t>
      </w:r>
      <w:r w:rsidRPr="006F12B6">
        <w:rPr>
          <w:rFonts w:ascii="Times New Roman" w:eastAsia="Times New Roman" w:hAnsi="Times New Roman" w:cs="Times New Roman"/>
          <w:b/>
          <w:bCs/>
          <w:kern w:val="36"/>
          <w:sz w:val="48"/>
          <w:szCs w:val="48"/>
          <w:lang w:eastAsia="pt-BR"/>
        </w:rPr>
        <w:t xml:space="preserve"> </w:t>
      </w:r>
      <w:bookmarkEnd w:id="120"/>
      <w:r w:rsidRPr="006F12B6">
        <w:rPr>
          <w:rFonts w:ascii="Arial" w:eastAsia="Times New Roman" w:hAnsi="Arial" w:cs="Arial"/>
          <w:b/>
          <w:bCs/>
          <w:kern w:val="36"/>
          <w:lang w:eastAsia="pt-BR"/>
        </w:rPr>
        <w:t>CONTROLES INTERNOS</w:t>
      </w:r>
    </w:p>
    <w:p w:rsidR="00B75C56" w:rsidRPr="006F12B6" w:rsidRDefault="00B75C56" w:rsidP="006F12B6">
      <w:pPr>
        <w:spacing w:before="288" w:after="0" w:line="240" w:lineRule="auto"/>
        <w:jc w:val="both"/>
        <w:rPr>
          <w:rFonts w:ascii="Times New Roman" w:eastAsia="Times New Roman" w:hAnsi="Times New Roman" w:cs="Times New Roman"/>
          <w:sz w:val="24"/>
          <w:szCs w:val="24"/>
          <w:lang w:eastAsia="pt-BR"/>
        </w:rPr>
      </w:pPr>
      <w:r w:rsidRPr="006F12B6">
        <w:rPr>
          <w:rFonts w:ascii="Arial" w:eastAsia="Times New Roman" w:hAnsi="Arial" w:cs="Arial"/>
          <w:sz w:val="20"/>
          <w:szCs w:val="20"/>
          <w:lang w:eastAsia="pt-BR"/>
        </w:rPr>
        <w:t xml:space="preserve">Antes de qualquer aplicação, resgate ou movimentações financeiras ocorridas na carteira de investimentos do </w:t>
      </w:r>
      <w:r w:rsidRPr="006F12B6">
        <w:rPr>
          <w:rFonts w:ascii="Arial" w:eastAsia="Times New Roman" w:hAnsi="Arial" w:cs="Arial"/>
          <w:b/>
          <w:bCs/>
          <w:sz w:val="20"/>
          <w:szCs w:val="20"/>
          <w:lang w:eastAsia="pt-BR"/>
        </w:rPr>
        <w:t>FUNDO MUNICIPAL DE APOSENTADORIA E PENSÃO DE FERNÃO</w:t>
      </w:r>
      <w:r w:rsidRPr="006F12B6">
        <w:rPr>
          <w:rFonts w:ascii="Arial" w:eastAsia="Times New Roman" w:hAnsi="Arial" w:cs="Arial"/>
          <w:sz w:val="20"/>
          <w:szCs w:val="20"/>
          <w:lang w:eastAsia="pt-BR"/>
        </w:rPr>
        <w:t>, os responsáveis pela gestão dos recursos deverão seguir todos os princípios e diretrizes envolvidos nos processos de aplicação dos investimentos.</w:t>
      </w:r>
    </w:p>
    <w:p w:rsidR="00B75C56" w:rsidRPr="006F12B6" w:rsidRDefault="00B75C56" w:rsidP="006F12B6">
      <w:pPr>
        <w:spacing w:before="288" w:after="0" w:line="240" w:lineRule="auto"/>
        <w:jc w:val="both"/>
        <w:rPr>
          <w:rFonts w:ascii="Times New Roman" w:eastAsia="Times New Roman" w:hAnsi="Times New Roman" w:cs="Times New Roman"/>
          <w:sz w:val="24"/>
          <w:szCs w:val="24"/>
          <w:lang w:eastAsia="pt-BR"/>
        </w:rPr>
      </w:pPr>
      <w:r w:rsidRPr="006F12B6">
        <w:rPr>
          <w:rFonts w:ascii="Arial" w:eastAsia="Times New Roman" w:hAnsi="Arial" w:cs="Arial"/>
          <w:sz w:val="20"/>
          <w:szCs w:val="20"/>
          <w:lang w:eastAsia="pt-BR"/>
        </w:rPr>
        <w:t xml:space="preserve">Todos os ativos e valores mobiliários adquiridos pelo </w:t>
      </w:r>
      <w:r w:rsidRPr="006F12B6">
        <w:rPr>
          <w:rFonts w:ascii="Arial" w:eastAsia="Times New Roman" w:hAnsi="Arial" w:cs="Arial"/>
          <w:b/>
          <w:bCs/>
          <w:sz w:val="20"/>
          <w:szCs w:val="20"/>
          <w:lang w:eastAsia="pt-BR"/>
        </w:rPr>
        <w:t>FUNDO MUNICIPAL DE APOSENTADORIA E PENSÃO DE FERNÃO</w:t>
      </w:r>
      <w:r w:rsidRPr="006F12B6">
        <w:rPr>
          <w:rFonts w:ascii="Arial" w:eastAsia="Times New Roman" w:hAnsi="Arial" w:cs="Arial"/>
          <w:sz w:val="20"/>
          <w:szCs w:val="20"/>
          <w:lang w:eastAsia="pt-BR"/>
        </w:rPr>
        <w:t xml:space="preserve"> deverão ser registrados nos Sistemas de Liquidação e Custódia: SELIC, CETIP ou Câmaras de Compensação autorizadas pela CVM.</w:t>
      </w:r>
    </w:p>
    <w:p w:rsidR="00B75C56" w:rsidRPr="006F12B6" w:rsidRDefault="00B75C56" w:rsidP="006F12B6">
      <w:pPr>
        <w:spacing w:before="288" w:after="0" w:line="240" w:lineRule="auto"/>
        <w:jc w:val="both"/>
        <w:rPr>
          <w:rFonts w:ascii="Times New Roman" w:eastAsia="Times New Roman" w:hAnsi="Times New Roman" w:cs="Times New Roman"/>
          <w:sz w:val="24"/>
          <w:szCs w:val="24"/>
          <w:lang w:eastAsia="pt-BR"/>
        </w:rPr>
      </w:pPr>
      <w:r w:rsidRPr="006F12B6">
        <w:rPr>
          <w:rFonts w:ascii="Arial" w:eastAsia="Times New Roman" w:hAnsi="Arial" w:cs="Arial"/>
          <w:sz w:val="20"/>
          <w:szCs w:val="20"/>
          <w:lang w:eastAsia="pt-BR"/>
        </w:rPr>
        <w:t xml:space="preserve">As operações realizadas no mercado secundário (compra/venda de títulos públicos) deverão ser realizadas através de plataforma eletrônica autorizada, </w:t>
      </w:r>
      <w:proofErr w:type="spellStart"/>
      <w:r w:rsidRPr="006F12B6">
        <w:rPr>
          <w:rFonts w:ascii="Arial" w:eastAsia="Times New Roman" w:hAnsi="Arial" w:cs="Arial"/>
          <w:sz w:val="20"/>
          <w:szCs w:val="20"/>
          <w:lang w:eastAsia="pt-BR"/>
        </w:rPr>
        <w:t>Sisbex</w:t>
      </w:r>
      <w:proofErr w:type="spellEnd"/>
      <w:r w:rsidRPr="006F12B6">
        <w:rPr>
          <w:rFonts w:ascii="Arial" w:eastAsia="Times New Roman" w:hAnsi="Arial" w:cs="Arial"/>
          <w:sz w:val="20"/>
          <w:szCs w:val="20"/>
          <w:lang w:eastAsia="pt-BR"/>
        </w:rPr>
        <w:t xml:space="preserve"> da </w:t>
      </w:r>
      <w:proofErr w:type="spellStart"/>
      <w:r w:rsidRPr="006F12B6">
        <w:rPr>
          <w:rFonts w:ascii="Arial" w:eastAsia="Times New Roman" w:hAnsi="Arial" w:cs="Arial"/>
          <w:sz w:val="20"/>
          <w:szCs w:val="20"/>
          <w:lang w:eastAsia="pt-BR"/>
        </w:rPr>
        <w:t>BM&amp;F</w:t>
      </w:r>
      <w:proofErr w:type="spellEnd"/>
      <w:r w:rsidRPr="006F12B6">
        <w:rPr>
          <w:rFonts w:ascii="Arial" w:eastAsia="Times New Roman" w:hAnsi="Arial" w:cs="Arial"/>
          <w:sz w:val="20"/>
          <w:szCs w:val="20"/>
          <w:lang w:eastAsia="pt-BR"/>
        </w:rPr>
        <w:t xml:space="preserve"> e </w:t>
      </w:r>
      <w:proofErr w:type="spellStart"/>
      <w:proofErr w:type="gramStart"/>
      <w:r w:rsidRPr="006F12B6">
        <w:rPr>
          <w:rFonts w:ascii="Arial" w:eastAsia="Times New Roman" w:hAnsi="Arial" w:cs="Arial"/>
          <w:sz w:val="20"/>
          <w:szCs w:val="20"/>
          <w:lang w:eastAsia="pt-BR"/>
        </w:rPr>
        <w:t>CetipNet</w:t>
      </w:r>
      <w:proofErr w:type="spellEnd"/>
      <w:proofErr w:type="gramEnd"/>
      <w:r w:rsidRPr="006F12B6">
        <w:rPr>
          <w:rFonts w:ascii="Arial" w:eastAsia="Times New Roman" w:hAnsi="Arial" w:cs="Arial"/>
          <w:sz w:val="20"/>
          <w:szCs w:val="20"/>
          <w:lang w:eastAsia="pt-BR"/>
        </w:rPr>
        <w:t xml:space="preserve"> da </w:t>
      </w:r>
      <w:proofErr w:type="spellStart"/>
      <w:r w:rsidRPr="006F12B6">
        <w:rPr>
          <w:rFonts w:ascii="Arial" w:eastAsia="Times New Roman" w:hAnsi="Arial" w:cs="Arial"/>
          <w:sz w:val="20"/>
          <w:szCs w:val="20"/>
          <w:lang w:eastAsia="pt-BR"/>
        </w:rPr>
        <w:t>Cetip</w:t>
      </w:r>
      <w:proofErr w:type="spellEnd"/>
      <w:r w:rsidRPr="006F12B6">
        <w:rPr>
          <w:rFonts w:ascii="Arial" w:eastAsia="Times New Roman" w:hAnsi="Arial" w:cs="Arial"/>
          <w:sz w:val="20"/>
          <w:szCs w:val="20"/>
          <w:lang w:eastAsia="pt-BR"/>
        </w:rPr>
        <w:t xml:space="preserve"> que já atendem aos pré-requisitos para oferecer as rodas de negociação nos moldes exigidos pelo Tesouro</w:t>
      </w:r>
      <w:r w:rsidRPr="00B75C56">
        <w:rPr>
          <w:rFonts w:ascii="Arial" w:eastAsia="Times New Roman" w:hAnsi="Arial" w:cs="Arial"/>
          <w:color w:val="FF0000"/>
          <w:sz w:val="20"/>
          <w:szCs w:val="20"/>
          <w:lang w:eastAsia="pt-BR"/>
        </w:rPr>
        <w:t xml:space="preserve"> </w:t>
      </w:r>
      <w:r w:rsidRPr="006F12B6">
        <w:rPr>
          <w:rFonts w:ascii="Arial" w:eastAsia="Times New Roman" w:hAnsi="Arial" w:cs="Arial"/>
          <w:sz w:val="20"/>
          <w:szCs w:val="20"/>
          <w:lang w:eastAsia="pt-BR"/>
        </w:rPr>
        <w:lastRenderedPageBreak/>
        <w:t>Nacional e pelo Banco Central. O RPPS deverá ainda, realizar o acompanhamento de preços e taxas praticados em tais operações e compará-los aos preços e taxas utilizados como referência de mercado (ANBIMA).</w:t>
      </w:r>
    </w:p>
    <w:p w:rsidR="00B75C56" w:rsidRPr="006F12B6" w:rsidRDefault="00B75C56" w:rsidP="006F12B6">
      <w:pPr>
        <w:spacing w:before="288" w:after="0" w:line="240" w:lineRule="auto"/>
        <w:jc w:val="both"/>
        <w:rPr>
          <w:rFonts w:ascii="Times New Roman" w:eastAsia="Times New Roman" w:hAnsi="Times New Roman" w:cs="Times New Roman"/>
          <w:sz w:val="24"/>
          <w:szCs w:val="24"/>
          <w:lang w:eastAsia="pt-BR"/>
        </w:rPr>
      </w:pPr>
      <w:r w:rsidRPr="006F12B6">
        <w:rPr>
          <w:rFonts w:ascii="Arial" w:eastAsia="Times New Roman" w:hAnsi="Arial" w:cs="Arial"/>
          <w:sz w:val="20"/>
          <w:szCs w:val="20"/>
          <w:lang w:eastAsia="pt-BR"/>
        </w:rPr>
        <w:t xml:space="preserve">O acompanhamento mensal do desempenho da carteira de investimentos em relação </w:t>
      </w:r>
      <w:proofErr w:type="gramStart"/>
      <w:r w:rsidRPr="006F12B6">
        <w:rPr>
          <w:rFonts w:ascii="Arial" w:eastAsia="Times New Roman" w:hAnsi="Arial" w:cs="Arial"/>
          <w:sz w:val="20"/>
          <w:szCs w:val="20"/>
          <w:lang w:eastAsia="pt-BR"/>
        </w:rPr>
        <w:t>a</w:t>
      </w:r>
      <w:proofErr w:type="gramEnd"/>
      <w:r w:rsidRPr="006F12B6">
        <w:rPr>
          <w:rFonts w:ascii="Arial" w:eastAsia="Times New Roman" w:hAnsi="Arial" w:cs="Arial"/>
          <w:sz w:val="20"/>
          <w:szCs w:val="20"/>
          <w:lang w:eastAsia="pt-BR"/>
        </w:rPr>
        <w:t xml:space="preserve"> Meta Rentabilidade definida, garantirá ações e medidas no curto e médio prazo no equacionamento de quaisquer distorções decorrentes dos riscos a ela atrelados.</w:t>
      </w:r>
    </w:p>
    <w:p w:rsidR="00B75C56" w:rsidRPr="00EE15FD" w:rsidRDefault="00B75C56" w:rsidP="006F12B6">
      <w:pPr>
        <w:spacing w:before="288" w:after="0" w:line="240" w:lineRule="auto"/>
        <w:jc w:val="both"/>
        <w:rPr>
          <w:rFonts w:ascii="Times New Roman" w:eastAsia="Times New Roman" w:hAnsi="Times New Roman" w:cs="Times New Roman"/>
          <w:sz w:val="24"/>
          <w:szCs w:val="24"/>
          <w:lang w:eastAsia="pt-BR"/>
        </w:rPr>
      </w:pPr>
      <w:r w:rsidRPr="00EE15FD">
        <w:rPr>
          <w:rFonts w:ascii="Arial" w:eastAsia="Times New Roman" w:hAnsi="Arial" w:cs="Arial"/>
          <w:sz w:val="20"/>
          <w:szCs w:val="20"/>
          <w:lang w:eastAsia="pt-BR"/>
        </w:rPr>
        <w:t xml:space="preserve">Com base nas determinações da Portaria MPS nº 170, de 26 de abril de 2012, alterada pela Portaria MPS nº 440, de 09 de outubro de 2013, foi instituído o Comitê de Investimentos através do </w:t>
      </w:r>
      <w:r w:rsidR="00EE15FD" w:rsidRPr="00EE15FD">
        <w:rPr>
          <w:rFonts w:ascii="Arial" w:eastAsia="Times New Roman" w:hAnsi="Arial" w:cs="Arial"/>
          <w:sz w:val="20"/>
          <w:szCs w:val="20"/>
          <w:lang w:eastAsia="pt-BR"/>
        </w:rPr>
        <w:t>Decreto nº 949/2014, de 24 de fevereiro de 2014, alterado pelo Decreto nº 1186/2018, de 06 de novembro de 2018</w:t>
      </w:r>
      <w:r w:rsidRPr="00EE15FD">
        <w:rPr>
          <w:rFonts w:ascii="Arial" w:eastAsia="Times New Roman" w:hAnsi="Arial" w:cs="Arial"/>
          <w:sz w:val="20"/>
          <w:szCs w:val="20"/>
          <w:lang w:eastAsia="pt-BR"/>
        </w:rPr>
        <w:t>, com a finalidade mínima de participar no processo decisório quanto à formulação e execução da Política de Investimentos.</w:t>
      </w:r>
    </w:p>
    <w:p w:rsidR="00B75C56" w:rsidRPr="00EE15FD" w:rsidRDefault="00B75C56" w:rsidP="00EE15FD">
      <w:pPr>
        <w:spacing w:before="288" w:after="0" w:line="240" w:lineRule="auto"/>
        <w:jc w:val="both"/>
        <w:rPr>
          <w:rFonts w:ascii="Times New Roman" w:eastAsia="Times New Roman" w:hAnsi="Times New Roman" w:cs="Times New Roman"/>
          <w:sz w:val="24"/>
          <w:szCs w:val="24"/>
          <w:lang w:eastAsia="pt-BR"/>
        </w:rPr>
      </w:pPr>
      <w:r w:rsidRPr="00EE15FD">
        <w:rPr>
          <w:rFonts w:ascii="Arial" w:eastAsia="Times New Roman" w:hAnsi="Arial" w:cs="Arial"/>
          <w:sz w:val="20"/>
          <w:szCs w:val="20"/>
          <w:lang w:eastAsia="pt-BR"/>
        </w:rPr>
        <w:t>Entende-se como participação no processo decisório quanto à formulação e execução da Política de Investimentos a abrangência de:</w:t>
      </w:r>
    </w:p>
    <w:p w:rsidR="00B75C56" w:rsidRPr="00152577" w:rsidRDefault="00B75C56" w:rsidP="00152577">
      <w:pPr>
        <w:spacing w:before="288" w:after="0" w:line="240" w:lineRule="auto"/>
        <w:jc w:val="both"/>
        <w:rPr>
          <w:rFonts w:ascii="Times New Roman" w:eastAsia="Times New Roman" w:hAnsi="Times New Roman" w:cs="Times New Roman"/>
          <w:sz w:val="24"/>
          <w:szCs w:val="24"/>
          <w:lang w:eastAsia="pt-BR"/>
        </w:rPr>
      </w:pPr>
      <w:proofErr w:type="gramStart"/>
      <w:r w:rsidRPr="00EE15FD">
        <w:rPr>
          <w:rFonts w:ascii="Arial" w:eastAsia="Times New Roman" w:hAnsi="Arial" w:cs="Arial"/>
          <w:sz w:val="20"/>
          <w:szCs w:val="20"/>
          <w:lang w:eastAsia="pt-BR"/>
        </w:rPr>
        <w:t>a</w:t>
      </w:r>
      <w:proofErr w:type="gramEnd"/>
      <w:r w:rsidRPr="00EE15FD">
        <w:rPr>
          <w:rFonts w:ascii="Arial" w:eastAsia="Times New Roman" w:hAnsi="Arial" w:cs="Arial"/>
          <w:sz w:val="20"/>
          <w:szCs w:val="20"/>
          <w:lang w:eastAsia="pt-BR"/>
        </w:rPr>
        <w:t>)  garantir o cumprimento das normativas vigentes</w:t>
      </w:r>
      <w:r w:rsidRPr="00152577">
        <w:rPr>
          <w:rFonts w:ascii="Arial" w:eastAsia="Times New Roman" w:hAnsi="Arial" w:cs="Arial"/>
          <w:sz w:val="20"/>
          <w:szCs w:val="20"/>
          <w:lang w:eastAsia="pt-BR"/>
        </w:rPr>
        <w:t>;</w:t>
      </w:r>
    </w:p>
    <w:p w:rsidR="00B75C56" w:rsidRPr="00152577" w:rsidRDefault="00B75C56" w:rsidP="00152577">
      <w:pPr>
        <w:spacing w:before="288" w:after="0" w:line="240" w:lineRule="auto"/>
        <w:jc w:val="both"/>
        <w:rPr>
          <w:rFonts w:ascii="Times New Roman" w:eastAsia="Times New Roman" w:hAnsi="Times New Roman" w:cs="Times New Roman"/>
          <w:sz w:val="24"/>
          <w:szCs w:val="24"/>
          <w:lang w:eastAsia="pt-BR"/>
        </w:rPr>
      </w:pPr>
      <w:proofErr w:type="gramStart"/>
      <w:r w:rsidRPr="00152577">
        <w:rPr>
          <w:rFonts w:ascii="Arial" w:eastAsia="Times New Roman" w:hAnsi="Arial" w:cs="Arial"/>
          <w:sz w:val="20"/>
          <w:szCs w:val="20"/>
          <w:lang w:eastAsia="pt-BR"/>
        </w:rPr>
        <w:t>b)</w:t>
      </w:r>
      <w:proofErr w:type="gramEnd"/>
      <w:r w:rsidRPr="00152577">
        <w:rPr>
          <w:rFonts w:ascii="Arial" w:eastAsia="Times New Roman" w:hAnsi="Arial" w:cs="Arial"/>
          <w:sz w:val="20"/>
          <w:szCs w:val="20"/>
          <w:lang w:eastAsia="pt-BR"/>
        </w:rPr>
        <w:t>  garantir o cumprimento da Política de Investimentos e suas revisões;</w:t>
      </w:r>
    </w:p>
    <w:p w:rsidR="00B75C56" w:rsidRPr="00152577" w:rsidRDefault="00B75C56" w:rsidP="00152577">
      <w:pPr>
        <w:spacing w:before="288" w:after="0" w:line="240" w:lineRule="auto"/>
        <w:jc w:val="both"/>
        <w:rPr>
          <w:rFonts w:ascii="Times New Roman" w:eastAsia="Times New Roman" w:hAnsi="Times New Roman" w:cs="Times New Roman"/>
          <w:sz w:val="24"/>
          <w:szCs w:val="24"/>
          <w:lang w:eastAsia="pt-BR"/>
        </w:rPr>
      </w:pPr>
      <w:proofErr w:type="gramStart"/>
      <w:r w:rsidRPr="00152577">
        <w:rPr>
          <w:rFonts w:ascii="Arial" w:eastAsia="Times New Roman" w:hAnsi="Arial" w:cs="Arial"/>
          <w:sz w:val="20"/>
          <w:szCs w:val="20"/>
          <w:lang w:eastAsia="pt-BR"/>
        </w:rPr>
        <w:t>c)</w:t>
      </w:r>
      <w:proofErr w:type="gramEnd"/>
      <w:r w:rsidRPr="00152577">
        <w:rPr>
          <w:rFonts w:ascii="Arial" w:eastAsia="Times New Roman" w:hAnsi="Arial" w:cs="Arial"/>
          <w:sz w:val="20"/>
          <w:szCs w:val="20"/>
          <w:lang w:eastAsia="pt-BR"/>
        </w:rPr>
        <w:t xml:space="preserve"> garantir a adequação dos investimentos de acordo com o perfil do </w:t>
      </w:r>
      <w:r w:rsidRPr="00152577">
        <w:rPr>
          <w:rFonts w:ascii="Arial" w:eastAsia="Times New Roman" w:hAnsi="Arial" w:cs="Arial"/>
          <w:b/>
          <w:bCs/>
          <w:sz w:val="20"/>
          <w:szCs w:val="20"/>
          <w:lang w:eastAsia="pt-BR"/>
        </w:rPr>
        <w:t>FUNDO MUNICIPAL DE APOSENTADORIA E PENSÃO DE FERNÃO</w:t>
      </w:r>
      <w:r w:rsidRPr="00152577">
        <w:rPr>
          <w:rFonts w:ascii="Arial" w:eastAsia="Times New Roman" w:hAnsi="Arial" w:cs="Arial"/>
          <w:sz w:val="20"/>
          <w:szCs w:val="20"/>
          <w:lang w:eastAsia="pt-BR"/>
        </w:rPr>
        <w:t>;</w:t>
      </w:r>
    </w:p>
    <w:p w:rsidR="00B75C56" w:rsidRPr="00152577" w:rsidRDefault="00B75C56" w:rsidP="00152577">
      <w:pPr>
        <w:spacing w:before="288" w:after="0" w:line="240" w:lineRule="auto"/>
        <w:jc w:val="both"/>
        <w:rPr>
          <w:rFonts w:ascii="Times New Roman" w:eastAsia="Times New Roman" w:hAnsi="Times New Roman" w:cs="Times New Roman"/>
          <w:sz w:val="24"/>
          <w:szCs w:val="24"/>
          <w:lang w:eastAsia="pt-BR"/>
        </w:rPr>
      </w:pPr>
      <w:proofErr w:type="gramStart"/>
      <w:r w:rsidRPr="00152577">
        <w:rPr>
          <w:rFonts w:ascii="Arial" w:eastAsia="Times New Roman" w:hAnsi="Arial" w:cs="Arial"/>
          <w:sz w:val="20"/>
          <w:szCs w:val="20"/>
          <w:lang w:eastAsia="pt-BR"/>
        </w:rPr>
        <w:t>d)</w:t>
      </w:r>
      <w:proofErr w:type="gramEnd"/>
      <w:r w:rsidRPr="00152577">
        <w:rPr>
          <w:rFonts w:ascii="Arial" w:eastAsia="Times New Roman" w:hAnsi="Arial" w:cs="Arial"/>
          <w:sz w:val="20"/>
          <w:szCs w:val="20"/>
          <w:lang w:eastAsia="pt-BR"/>
        </w:rPr>
        <w:t> monitorar o grau de risco dos investimentos;</w:t>
      </w:r>
    </w:p>
    <w:p w:rsidR="00B75C56" w:rsidRPr="00152577" w:rsidRDefault="00B75C56" w:rsidP="00152577">
      <w:pPr>
        <w:spacing w:before="288" w:after="0" w:line="240" w:lineRule="auto"/>
        <w:jc w:val="both"/>
        <w:rPr>
          <w:rFonts w:ascii="Times New Roman" w:eastAsia="Times New Roman" w:hAnsi="Times New Roman" w:cs="Times New Roman"/>
          <w:sz w:val="24"/>
          <w:szCs w:val="24"/>
          <w:lang w:eastAsia="pt-BR"/>
        </w:rPr>
      </w:pPr>
      <w:proofErr w:type="gramStart"/>
      <w:r w:rsidRPr="00152577">
        <w:rPr>
          <w:rFonts w:ascii="Arial" w:eastAsia="Times New Roman" w:hAnsi="Arial" w:cs="Arial"/>
          <w:sz w:val="20"/>
          <w:szCs w:val="20"/>
          <w:lang w:eastAsia="pt-BR"/>
        </w:rPr>
        <w:t>e</w:t>
      </w:r>
      <w:proofErr w:type="gramEnd"/>
      <w:r w:rsidRPr="00152577">
        <w:rPr>
          <w:rFonts w:ascii="Arial" w:eastAsia="Times New Roman" w:hAnsi="Arial" w:cs="Arial"/>
          <w:sz w:val="20"/>
          <w:szCs w:val="20"/>
          <w:lang w:eastAsia="pt-BR"/>
        </w:rPr>
        <w:t>) observar que a rentabilidade dos recursos que estejam de acordo com o nível de risco assumido;</w:t>
      </w:r>
    </w:p>
    <w:p w:rsidR="00B75C56" w:rsidRPr="00152577" w:rsidRDefault="00B75C56" w:rsidP="00152577">
      <w:pPr>
        <w:spacing w:before="288" w:after="0" w:line="240" w:lineRule="auto"/>
        <w:jc w:val="both"/>
        <w:rPr>
          <w:rFonts w:ascii="Times New Roman" w:eastAsia="Times New Roman" w:hAnsi="Times New Roman" w:cs="Times New Roman"/>
          <w:sz w:val="24"/>
          <w:szCs w:val="24"/>
          <w:lang w:eastAsia="pt-BR"/>
        </w:rPr>
      </w:pPr>
      <w:proofErr w:type="gramStart"/>
      <w:r w:rsidRPr="00152577">
        <w:rPr>
          <w:rFonts w:ascii="Arial" w:eastAsia="Times New Roman" w:hAnsi="Arial" w:cs="Arial"/>
          <w:sz w:val="20"/>
          <w:szCs w:val="20"/>
          <w:lang w:eastAsia="pt-BR"/>
        </w:rPr>
        <w:t>f)</w:t>
      </w:r>
      <w:proofErr w:type="gramEnd"/>
      <w:r w:rsidRPr="00152577">
        <w:rPr>
          <w:rFonts w:ascii="Arial" w:eastAsia="Times New Roman" w:hAnsi="Arial" w:cs="Arial"/>
          <w:sz w:val="20"/>
          <w:szCs w:val="20"/>
          <w:lang w:eastAsia="pt-BR"/>
        </w:rPr>
        <w:t> garantir a gestão ética e transparente dos recursos;</w:t>
      </w:r>
    </w:p>
    <w:p w:rsidR="00B75C56" w:rsidRPr="00152577" w:rsidRDefault="00B75C56" w:rsidP="00152577">
      <w:pPr>
        <w:spacing w:before="288" w:after="0" w:line="240" w:lineRule="auto"/>
        <w:jc w:val="both"/>
        <w:rPr>
          <w:rFonts w:ascii="Times New Roman" w:eastAsia="Times New Roman" w:hAnsi="Times New Roman" w:cs="Times New Roman"/>
          <w:sz w:val="24"/>
          <w:szCs w:val="24"/>
          <w:lang w:eastAsia="pt-BR"/>
        </w:rPr>
      </w:pPr>
      <w:proofErr w:type="gramStart"/>
      <w:r w:rsidRPr="00152577">
        <w:rPr>
          <w:rFonts w:ascii="Arial" w:eastAsia="Times New Roman" w:hAnsi="Arial" w:cs="Arial"/>
          <w:sz w:val="20"/>
          <w:szCs w:val="20"/>
          <w:lang w:eastAsia="pt-BR"/>
        </w:rPr>
        <w:t>g)</w:t>
      </w:r>
      <w:proofErr w:type="gramEnd"/>
      <w:r w:rsidRPr="00152577">
        <w:rPr>
          <w:rFonts w:ascii="Arial" w:eastAsia="Times New Roman" w:hAnsi="Arial" w:cs="Arial"/>
          <w:sz w:val="20"/>
          <w:szCs w:val="20"/>
          <w:lang w:eastAsia="pt-BR"/>
        </w:rPr>
        <w:t> garantir a execução dos processos internos voltados para área de investimentos;</w:t>
      </w:r>
    </w:p>
    <w:p w:rsidR="00B75C56" w:rsidRPr="00152577" w:rsidRDefault="00B75C56" w:rsidP="00152577">
      <w:pPr>
        <w:spacing w:before="288" w:after="0" w:line="240" w:lineRule="auto"/>
        <w:jc w:val="both"/>
        <w:rPr>
          <w:rFonts w:ascii="Times New Roman" w:eastAsia="Times New Roman" w:hAnsi="Times New Roman" w:cs="Times New Roman"/>
          <w:sz w:val="24"/>
          <w:szCs w:val="24"/>
          <w:lang w:eastAsia="pt-BR"/>
        </w:rPr>
      </w:pPr>
      <w:proofErr w:type="gramStart"/>
      <w:r w:rsidRPr="00152577">
        <w:rPr>
          <w:rFonts w:ascii="Arial" w:eastAsia="Times New Roman" w:hAnsi="Arial" w:cs="Arial"/>
          <w:sz w:val="20"/>
          <w:szCs w:val="20"/>
          <w:lang w:eastAsia="pt-BR"/>
        </w:rPr>
        <w:t>h)</w:t>
      </w:r>
      <w:proofErr w:type="gramEnd"/>
      <w:r w:rsidRPr="00152577">
        <w:rPr>
          <w:rFonts w:ascii="Arial" w:eastAsia="Times New Roman" w:hAnsi="Arial" w:cs="Arial"/>
          <w:sz w:val="20"/>
          <w:szCs w:val="20"/>
          <w:lang w:eastAsia="pt-BR"/>
        </w:rPr>
        <w:t> instaurar sindicância no âmbito dos investimentos e processos de investimentos se assim houver a necessidade;</w:t>
      </w:r>
    </w:p>
    <w:p w:rsidR="00B75C56" w:rsidRPr="00152577" w:rsidRDefault="00B75C56" w:rsidP="00152577">
      <w:pPr>
        <w:spacing w:before="288" w:after="0" w:line="240" w:lineRule="auto"/>
        <w:jc w:val="both"/>
        <w:rPr>
          <w:rFonts w:ascii="Times New Roman" w:eastAsia="Times New Roman" w:hAnsi="Times New Roman" w:cs="Times New Roman"/>
          <w:sz w:val="24"/>
          <w:szCs w:val="24"/>
          <w:lang w:eastAsia="pt-BR"/>
        </w:rPr>
      </w:pPr>
      <w:proofErr w:type="gramStart"/>
      <w:r w:rsidRPr="00152577">
        <w:rPr>
          <w:rFonts w:ascii="Arial" w:eastAsia="Times New Roman" w:hAnsi="Arial" w:cs="Arial"/>
          <w:sz w:val="20"/>
          <w:szCs w:val="20"/>
          <w:lang w:eastAsia="pt-BR"/>
        </w:rPr>
        <w:t>i)</w:t>
      </w:r>
      <w:proofErr w:type="gramEnd"/>
      <w:r w:rsidRPr="00152577">
        <w:rPr>
          <w:rFonts w:ascii="Arial" w:eastAsia="Times New Roman" w:hAnsi="Arial" w:cs="Arial"/>
          <w:sz w:val="20"/>
          <w:szCs w:val="20"/>
          <w:lang w:eastAsia="pt-BR"/>
        </w:rPr>
        <w:t> executar plano de contingência no âmbito dos investimentos conforme definido em Política de Investimentos se assim houver a necessidade;</w:t>
      </w:r>
    </w:p>
    <w:p w:rsidR="00B75C56" w:rsidRPr="00152577" w:rsidRDefault="00B75C56" w:rsidP="00152577">
      <w:pPr>
        <w:spacing w:before="288" w:after="0" w:line="240" w:lineRule="auto"/>
        <w:jc w:val="both"/>
        <w:rPr>
          <w:rFonts w:ascii="Times New Roman" w:eastAsia="Times New Roman" w:hAnsi="Times New Roman" w:cs="Times New Roman"/>
          <w:sz w:val="24"/>
          <w:szCs w:val="24"/>
          <w:lang w:eastAsia="pt-BR"/>
        </w:rPr>
      </w:pPr>
      <w:proofErr w:type="gramStart"/>
      <w:r w:rsidRPr="00152577">
        <w:rPr>
          <w:rFonts w:ascii="Arial" w:eastAsia="Times New Roman" w:hAnsi="Arial" w:cs="Arial"/>
          <w:sz w:val="20"/>
          <w:szCs w:val="20"/>
          <w:lang w:eastAsia="pt-BR"/>
        </w:rPr>
        <w:t>j)</w:t>
      </w:r>
      <w:proofErr w:type="gramEnd"/>
      <w:r w:rsidRPr="00152577">
        <w:rPr>
          <w:rFonts w:ascii="Arial" w:eastAsia="Times New Roman" w:hAnsi="Arial" w:cs="Arial"/>
          <w:sz w:val="20"/>
          <w:szCs w:val="20"/>
          <w:lang w:eastAsia="pt-BR"/>
        </w:rPr>
        <w:t> garantir a execução, o cumprimento e acompanhamento do Credenciamento da Instituições Financeiras;</w:t>
      </w:r>
    </w:p>
    <w:p w:rsidR="00B75C56" w:rsidRPr="00152577" w:rsidRDefault="00B75C56" w:rsidP="00152577">
      <w:pPr>
        <w:spacing w:before="288" w:after="0" w:line="240" w:lineRule="auto"/>
        <w:jc w:val="both"/>
        <w:rPr>
          <w:rFonts w:ascii="Times New Roman" w:eastAsia="Times New Roman" w:hAnsi="Times New Roman" w:cs="Times New Roman"/>
          <w:sz w:val="24"/>
          <w:szCs w:val="24"/>
          <w:lang w:eastAsia="pt-BR"/>
        </w:rPr>
      </w:pPr>
      <w:proofErr w:type="gramStart"/>
      <w:r w:rsidRPr="00152577">
        <w:rPr>
          <w:rFonts w:ascii="Arial" w:eastAsia="Times New Roman" w:hAnsi="Arial" w:cs="Arial"/>
          <w:sz w:val="20"/>
          <w:szCs w:val="20"/>
          <w:lang w:eastAsia="pt-BR"/>
        </w:rPr>
        <w:t>k)</w:t>
      </w:r>
      <w:proofErr w:type="gramEnd"/>
      <w:r w:rsidRPr="00152577">
        <w:rPr>
          <w:rFonts w:ascii="Arial" w:eastAsia="Times New Roman" w:hAnsi="Arial" w:cs="Arial"/>
          <w:sz w:val="20"/>
          <w:szCs w:val="20"/>
          <w:lang w:eastAsia="pt-BR"/>
        </w:rPr>
        <w:t> garantir que a Alocação Estratégica esteja em consonância com os estudos técnicos que nortearam o equilíbrio atuarial e financeiro e</w:t>
      </w:r>
    </w:p>
    <w:p w:rsidR="00B75C56" w:rsidRPr="00152577" w:rsidRDefault="00B75C56" w:rsidP="00152577">
      <w:pPr>
        <w:spacing w:before="288" w:after="0" w:line="240" w:lineRule="auto"/>
        <w:jc w:val="both"/>
        <w:rPr>
          <w:rFonts w:ascii="Times New Roman" w:eastAsia="Times New Roman" w:hAnsi="Times New Roman" w:cs="Times New Roman"/>
          <w:sz w:val="24"/>
          <w:szCs w:val="24"/>
          <w:lang w:eastAsia="pt-BR"/>
        </w:rPr>
      </w:pPr>
      <w:proofErr w:type="gramStart"/>
      <w:r w:rsidRPr="00152577">
        <w:rPr>
          <w:rFonts w:ascii="Arial" w:eastAsia="Times New Roman" w:hAnsi="Arial" w:cs="Arial"/>
          <w:sz w:val="20"/>
          <w:szCs w:val="20"/>
          <w:lang w:eastAsia="pt-BR"/>
        </w:rPr>
        <w:t>l)</w:t>
      </w:r>
      <w:proofErr w:type="gramEnd"/>
      <w:r w:rsidRPr="00152577">
        <w:rPr>
          <w:rFonts w:ascii="Arial" w:eastAsia="Times New Roman" w:hAnsi="Arial" w:cs="Arial"/>
          <w:sz w:val="20"/>
          <w:szCs w:val="20"/>
          <w:lang w:eastAsia="pt-BR"/>
        </w:rPr>
        <w:t> qualquer outra atividade relacionada diretamente a área de investimentos.</w:t>
      </w:r>
    </w:p>
    <w:p w:rsidR="00B75C56" w:rsidRPr="00152577" w:rsidRDefault="00B75C56" w:rsidP="00152577">
      <w:pPr>
        <w:spacing w:before="288" w:after="0" w:line="240" w:lineRule="auto"/>
        <w:jc w:val="both"/>
        <w:rPr>
          <w:rFonts w:ascii="Times New Roman" w:eastAsia="Times New Roman" w:hAnsi="Times New Roman" w:cs="Times New Roman"/>
          <w:sz w:val="24"/>
          <w:szCs w:val="24"/>
          <w:lang w:eastAsia="pt-BR"/>
        </w:rPr>
      </w:pPr>
      <w:r w:rsidRPr="00152577">
        <w:rPr>
          <w:rFonts w:ascii="Arial" w:eastAsia="Times New Roman" w:hAnsi="Arial" w:cs="Arial"/>
          <w:sz w:val="20"/>
          <w:szCs w:val="20"/>
          <w:lang w:eastAsia="pt-BR"/>
        </w:rPr>
        <w:t xml:space="preserve">Todo o acompanhamento promovido pelo Comitê de Investimentos será designado em formato de relatório, sendo </w:t>
      </w:r>
      <w:proofErr w:type="gramStart"/>
      <w:r w:rsidRPr="00152577">
        <w:rPr>
          <w:rFonts w:ascii="Arial" w:eastAsia="Times New Roman" w:hAnsi="Arial" w:cs="Arial"/>
          <w:sz w:val="20"/>
          <w:szCs w:val="20"/>
          <w:lang w:eastAsia="pt-BR"/>
        </w:rPr>
        <w:t>disponibilizado para apreciação, análise, contestação e aprovação</w:t>
      </w:r>
      <w:proofErr w:type="gramEnd"/>
      <w:r w:rsidRPr="00152577">
        <w:rPr>
          <w:rFonts w:ascii="Arial" w:eastAsia="Times New Roman" w:hAnsi="Arial" w:cs="Arial"/>
          <w:sz w:val="20"/>
          <w:szCs w:val="20"/>
          <w:lang w:eastAsia="pt-BR"/>
        </w:rPr>
        <w:t xml:space="preserve"> por parte do Conselho de Deliberação. Sua periodicidade se adequada ao porte do </w:t>
      </w:r>
      <w:r w:rsidRPr="00152577">
        <w:rPr>
          <w:rFonts w:ascii="Arial" w:eastAsia="Times New Roman" w:hAnsi="Arial" w:cs="Arial"/>
          <w:b/>
          <w:bCs/>
          <w:sz w:val="20"/>
          <w:szCs w:val="20"/>
          <w:lang w:eastAsia="pt-BR"/>
        </w:rPr>
        <w:t>FUNDO MUNICIPAL DE APOSENTADORIA E PENSÃO DE FERNÃO</w:t>
      </w:r>
      <w:r w:rsidRPr="00152577">
        <w:rPr>
          <w:rFonts w:ascii="Arial" w:eastAsia="Times New Roman" w:hAnsi="Arial" w:cs="Arial"/>
          <w:sz w:val="20"/>
          <w:szCs w:val="20"/>
          <w:lang w:eastAsia="pt-BR"/>
        </w:rPr>
        <w:t>.</w:t>
      </w:r>
    </w:p>
    <w:p w:rsidR="00B75C56" w:rsidRPr="00152577" w:rsidRDefault="00B75C56" w:rsidP="00152577">
      <w:pPr>
        <w:spacing w:before="288" w:after="0" w:line="240" w:lineRule="auto"/>
        <w:jc w:val="both"/>
        <w:rPr>
          <w:rFonts w:ascii="Times New Roman" w:eastAsia="Times New Roman" w:hAnsi="Times New Roman" w:cs="Times New Roman"/>
          <w:sz w:val="24"/>
          <w:szCs w:val="24"/>
          <w:lang w:eastAsia="pt-BR"/>
        </w:rPr>
      </w:pPr>
      <w:r w:rsidRPr="00152577">
        <w:rPr>
          <w:rFonts w:ascii="Arial" w:eastAsia="Times New Roman" w:hAnsi="Arial" w:cs="Arial"/>
          <w:sz w:val="20"/>
          <w:szCs w:val="20"/>
          <w:lang w:eastAsia="pt-BR"/>
        </w:rPr>
        <w:t>Os relatórios supracitados serão mantidos e colocados à disposição da Secretária da Previdência Social - SPREV, Tribunal de Contas do Estado, Conselho Fiscal e demais órgãos fiscalizadores e interessados.</w:t>
      </w:r>
      <w:bookmarkStart w:id="121" w:name="_Toc490036564"/>
      <w:bookmarkEnd w:id="121"/>
    </w:p>
    <w:p w:rsidR="00B75C56" w:rsidRPr="00AA2AF6" w:rsidRDefault="00B75C56" w:rsidP="00AA2AF6">
      <w:pPr>
        <w:spacing w:before="288" w:after="0" w:line="240" w:lineRule="auto"/>
        <w:rPr>
          <w:rFonts w:ascii="Times New Roman" w:eastAsia="Times New Roman" w:hAnsi="Times New Roman" w:cs="Times New Roman"/>
          <w:b/>
          <w:bCs/>
          <w:kern w:val="36"/>
          <w:sz w:val="48"/>
          <w:szCs w:val="48"/>
          <w:lang w:eastAsia="pt-BR"/>
        </w:rPr>
      </w:pPr>
      <w:r w:rsidRPr="00AA2AF6">
        <w:rPr>
          <w:rFonts w:ascii="Arial" w:eastAsia="Times New Roman" w:hAnsi="Arial" w:cs="Arial"/>
          <w:sz w:val="20"/>
          <w:szCs w:val="20"/>
          <w:lang w:eastAsia="pt-BR"/>
        </w:rPr>
        <w:lastRenderedPageBreak/>
        <w:t> </w:t>
      </w:r>
      <w:bookmarkStart w:id="122" w:name="_Toc20130629"/>
      <w:r w:rsidRPr="00AA2AF6">
        <w:rPr>
          <w:rFonts w:ascii="Arial" w:eastAsia="Times New Roman" w:hAnsi="Arial" w:cs="Arial"/>
          <w:b/>
          <w:bCs/>
          <w:kern w:val="36"/>
          <w:lang w:eastAsia="pt-BR"/>
        </w:rPr>
        <w:t>15</w:t>
      </w:r>
      <w:r w:rsidRPr="00AA2AF6">
        <w:rPr>
          <w:rFonts w:ascii="Times New Roman" w:eastAsia="Times New Roman" w:hAnsi="Times New Roman" w:cs="Times New Roman"/>
          <w:b/>
          <w:bCs/>
          <w:kern w:val="36"/>
          <w:sz w:val="14"/>
          <w:szCs w:val="14"/>
          <w:lang w:eastAsia="pt-BR"/>
        </w:rPr>
        <w:t xml:space="preserve">     </w:t>
      </w:r>
      <w:r w:rsidRPr="00AA2AF6">
        <w:rPr>
          <w:rFonts w:ascii="Arial" w:eastAsia="Times New Roman" w:hAnsi="Arial" w:cs="Arial"/>
          <w:b/>
          <w:bCs/>
          <w:kern w:val="36"/>
          <w:lang w:eastAsia="pt-BR"/>
        </w:rPr>
        <w:t>DISPOSIÇÕES GERAIS</w:t>
      </w:r>
      <w:bookmarkEnd w:id="122"/>
    </w:p>
    <w:p w:rsidR="00B75C56" w:rsidRPr="00AA2AF6" w:rsidRDefault="00B75C56" w:rsidP="00AA2AF6">
      <w:pPr>
        <w:spacing w:before="288" w:after="0" w:line="240" w:lineRule="auto"/>
        <w:jc w:val="both"/>
        <w:rPr>
          <w:rFonts w:ascii="Times New Roman" w:eastAsia="Times New Roman" w:hAnsi="Times New Roman" w:cs="Times New Roman"/>
          <w:sz w:val="24"/>
          <w:szCs w:val="24"/>
          <w:lang w:eastAsia="pt-BR"/>
        </w:rPr>
      </w:pPr>
      <w:r w:rsidRPr="00AA2AF6">
        <w:rPr>
          <w:rFonts w:ascii="Arial" w:eastAsia="Times New Roman" w:hAnsi="Arial" w:cs="Arial"/>
          <w:sz w:val="20"/>
          <w:szCs w:val="20"/>
          <w:lang w:eastAsia="pt-BR"/>
        </w:rPr>
        <w:t xml:space="preserve">A presente Política de Investimentos poderá ser revista no curso de sua execução e deverá ser monitorada no curto prazo, a contar da data de sua aprovação pelo órgão superior competente do </w:t>
      </w:r>
      <w:r w:rsidRPr="00AA2AF6">
        <w:rPr>
          <w:rFonts w:ascii="Arial" w:eastAsia="Times New Roman" w:hAnsi="Arial" w:cs="Arial"/>
          <w:b/>
          <w:bCs/>
          <w:sz w:val="20"/>
          <w:szCs w:val="20"/>
          <w:lang w:eastAsia="pt-BR"/>
        </w:rPr>
        <w:t>FUNDO MUNICIPAL DE APOSENTADORIA E PENSÃO DE FERNÃO</w:t>
      </w:r>
      <w:r w:rsidRPr="00AA2AF6">
        <w:rPr>
          <w:rFonts w:ascii="Arial" w:eastAsia="Times New Roman" w:hAnsi="Arial" w:cs="Arial"/>
          <w:sz w:val="20"/>
          <w:szCs w:val="20"/>
          <w:lang w:eastAsia="pt-BR"/>
        </w:rPr>
        <w:t>, sendo que o prazo de validade compreenderá o ano de 2021.</w:t>
      </w:r>
    </w:p>
    <w:p w:rsidR="00B75C56" w:rsidRPr="00AA2AF6" w:rsidRDefault="00B75C56" w:rsidP="00AA2AF6">
      <w:pPr>
        <w:spacing w:before="288" w:after="0" w:line="240" w:lineRule="auto"/>
        <w:jc w:val="both"/>
        <w:rPr>
          <w:rFonts w:ascii="Times New Roman" w:eastAsia="Times New Roman" w:hAnsi="Times New Roman" w:cs="Times New Roman"/>
          <w:sz w:val="24"/>
          <w:szCs w:val="24"/>
          <w:lang w:eastAsia="pt-BR"/>
        </w:rPr>
      </w:pPr>
      <w:r w:rsidRPr="00AA2AF6">
        <w:rPr>
          <w:rFonts w:ascii="Arial" w:eastAsia="Times New Roman" w:hAnsi="Arial" w:cs="Arial"/>
          <w:sz w:val="20"/>
          <w:szCs w:val="20"/>
          <w:lang w:eastAsia="pt-BR"/>
        </w:rPr>
        <w:t xml:space="preserve">Reuniões extraordinárias junto ao Comitê de Investimentos e posteriormente com Conselho Deliberativo do </w:t>
      </w:r>
      <w:r w:rsidRPr="00AA2AF6">
        <w:rPr>
          <w:rFonts w:ascii="Arial" w:eastAsia="Times New Roman" w:hAnsi="Arial" w:cs="Arial"/>
          <w:b/>
          <w:bCs/>
          <w:sz w:val="20"/>
          <w:szCs w:val="20"/>
          <w:lang w:eastAsia="pt-BR"/>
        </w:rPr>
        <w:t>FUNDO MUNICIPAL DE APOSENTADORIA E PENSÃO DE FERNÃO</w:t>
      </w:r>
      <w:r w:rsidRPr="00AA2AF6">
        <w:rPr>
          <w:rFonts w:ascii="Arial" w:eastAsia="Times New Roman" w:hAnsi="Arial" w:cs="Arial"/>
          <w:sz w:val="20"/>
          <w:szCs w:val="20"/>
          <w:lang w:eastAsia="pt-BR"/>
        </w:rPr>
        <w:t>, serão realizadas sempre que houver necessidade de ajustes nesta Política de Investimentos perante o comportamento/conjuntura do mercado, quando se apresentar o interesse da preservação dos ativos financeiros e/ou com vistas à adequação à nova legislação.</w:t>
      </w:r>
    </w:p>
    <w:p w:rsidR="00B75C56" w:rsidRPr="00AA2AF6" w:rsidRDefault="00B75C56" w:rsidP="00AA2AF6">
      <w:pPr>
        <w:spacing w:before="288" w:after="0" w:line="240" w:lineRule="auto"/>
        <w:jc w:val="both"/>
        <w:rPr>
          <w:rFonts w:ascii="Times New Roman" w:eastAsia="Times New Roman" w:hAnsi="Times New Roman" w:cs="Times New Roman"/>
          <w:sz w:val="24"/>
          <w:szCs w:val="24"/>
          <w:lang w:eastAsia="pt-BR"/>
        </w:rPr>
      </w:pPr>
      <w:r w:rsidRPr="00AA2AF6">
        <w:rPr>
          <w:rFonts w:ascii="Arial" w:eastAsia="Times New Roman" w:hAnsi="Arial" w:cs="Arial"/>
          <w:sz w:val="20"/>
          <w:szCs w:val="20"/>
          <w:lang w:eastAsia="pt-BR"/>
        </w:rPr>
        <w:t xml:space="preserve">A Política de Investimentos e suas possíveis revisões; </w:t>
      </w:r>
      <w:proofErr w:type="gramStart"/>
      <w:r w:rsidRPr="00AA2AF6">
        <w:rPr>
          <w:rFonts w:ascii="Arial" w:eastAsia="Times New Roman" w:hAnsi="Arial" w:cs="Arial"/>
          <w:sz w:val="20"/>
          <w:szCs w:val="20"/>
          <w:lang w:eastAsia="pt-BR"/>
        </w:rPr>
        <w:t>a documentação que os fundamenta, bem como as aprovações exigidas permanecerão</w:t>
      </w:r>
      <w:proofErr w:type="gramEnd"/>
      <w:r w:rsidRPr="00AA2AF6">
        <w:rPr>
          <w:rFonts w:ascii="Arial" w:eastAsia="Times New Roman" w:hAnsi="Arial" w:cs="Arial"/>
          <w:sz w:val="20"/>
          <w:szCs w:val="20"/>
          <w:lang w:eastAsia="pt-BR"/>
        </w:rPr>
        <w:t xml:space="preserve"> à disposição dos órgãos de acompanhamento, supervisão e fiscalização pelo prazo de 10 (dez) anos.</w:t>
      </w:r>
    </w:p>
    <w:p w:rsidR="00B75C56" w:rsidRPr="00AA2AF6" w:rsidRDefault="00B75C56" w:rsidP="00AA2AF6">
      <w:pPr>
        <w:spacing w:before="288" w:after="0" w:line="240" w:lineRule="auto"/>
        <w:jc w:val="both"/>
        <w:rPr>
          <w:rFonts w:ascii="Times New Roman" w:eastAsia="Times New Roman" w:hAnsi="Times New Roman" w:cs="Times New Roman"/>
          <w:sz w:val="24"/>
          <w:szCs w:val="24"/>
          <w:lang w:eastAsia="pt-BR"/>
        </w:rPr>
      </w:pPr>
      <w:r w:rsidRPr="00AA2AF6">
        <w:rPr>
          <w:rFonts w:ascii="Arial" w:eastAsia="Times New Roman" w:hAnsi="Arial" w:cs="Arial"/>
          <w:sz w:val="20"/>
          <w:szCs w:val="20"/>
          <w:lang w:eastAsia="pt-BR"/>
        </w:rPr>
        <w:t xml:space="preserve">Deverão estar certificados os responsáveis pelo acompanhamento e operacionalização dos investimentos do </w:t>
      </w:r>
      <w:r w:rsidRPr="00AA2AF6">
        <w:rPr>
          <w:rFonts w:ascii="Arial" w:eastAsia="Times New Roman" w:hAnsi="Arial" w:cs="Arial"/>
          <w:b/>
          <w:bCs/>
          <w:sz w:val="20"/>
          <w:szCs w:val="20"/>
          <w:lang w:eastAsia="pt-BR"/>
        </w:rPr>
        <w:t>FUNDO MUNICIPAL DE APOSENTADORIA E PENSÃO DE FERNÃO</w:t>
      </w:r>
      <w:r w:rsidRPr="00AA2AF6">
        <w:rPr>
          <w:rFonts w:ascii="Arial" w:eastAsia="Times New Roman" w:hAnsi="Arial" w:cs="Arial"/>
          <w:sz w:val="20"/>
          <w:szCs w:val="20"/>
          <w:lang w:eastAsia="pt-BR"/>
        </w:rPr>
        <w:t xml:space="preserve">, através de exame de certificação organizado por entidade autônoma de reconhecida capacidade técnica e difusão no mercado brasileiro de capitais, cujo conteúdo abrangerá, no mínimo, o contido no anexo a Portaria MPAS nº 519, de 24 de agosto de 2011. </w:t>
      </w:r>
    </w:p>
    <w:p w:rsidR="00B75C56" w:rsidRPr="00AA2AF6" w:rsidRDefault="00B75C56" w:rsidP="00AA2AF6">
      <w:pPr>
        <w:spacing w:before="288" w:after="0" w:line="240" w:lineRule="auto"/>
        <w:jc w:val="both"/>
        <w:rPr>
          <w:rFonts w:ascii="Times New Roman" w:eastAsia="Times New Roman" w:hAnsi="Times New Roman" w:cs="Times New Roman"/>
          <w:sz w:val="24"/>
          <w:szCs w:val="24"/>
          <w:lang w:eastAsia="pt-BR"/>
        </w:rPr>
      </w:pPr>
      <w:r w:rsidRPr="00AA2AF6">
        <w:rPr>
          <w:rFonts w:ascii="Arial" w:eastAsia="Times New Roman" w:hAnsi="Arial" w:cs="Arial"/>
          <w:sz w:val="20"/>
          <w:szCs w:val="20"/>
          <w:lang w:eastAsia="pt-BR"/>
        </w:rPr>
        <w:t>A comprovação da habilitação ocorrerá mediante o preenchimento dos campos específicos constantes do Demonstrativo da Política de Investimentos - DPIN e do Demonstrativo de Aplicações e Investimentos dos Recursos - DAIR.</w:t>
      </w:r>
    </w:p>
    <w:p w:rsidR="00B75C56" w:rsidRPr="00AA2AF6" w:rsidRDefault="00B75C56" w:rsidP="00AA2AF6">
      <w:pPr>
        <w:spacing w:before="288" w:after="0" w:line="240" w:lineRule="auto"/>
        <w:jc w:val="both"/>
        <w:rPr>
          <w:rFonts w:ascii="Times New Roman" w:eastAsia="Times New Roman" w:hAnsi="Times New Roman" w:cs="Times New Roman"/>
          <w:sz w:val="24"/>
          <w:szCs w:val="24"/>
          <w:lang w:eastAsia="pt-BR"/>
        </w:rPr>
      </w:pPr>
      <w:r w:rsidRPr="00AA2AF6">
        <w:rPr>
          <w:rFonts w:ascii="Arial" w:eastAsia="Times New Roman" w:hAnsi="Arial" w:cs="Arial"/>
          <w:sz w:val="20"/>
          <w:szCs w:val="20"/>
          <w:lang w:eastAsia="pt-BR"/>
        </w:rPr>
        <w:t xml:space="preserve">As Instituições Financeiras que operem e que venham a operar com o </w:t>
      </w:r>
      <w:r w:rsidRPr="00AA2AF6">
        <w:rPr>
          <w:rFonts w:ascii="Arial" w:eastAsia="Times New Roman" w:hAnsi="Arial" w:cs="Arial"/>
          <w:b/>
          <w:bCs/>
          <w:sz w:val="20"/>
          <w:szCs w:val="20"/>
          <w:lang w:eastAsia="pt-BR"/>
        </w:rPr>
        <w:t>FUNDO MUNICIPAL DE APOSENTADORIA E PENSÃO DE FERNÃO</w:t>
      </w:r>
      <w:r w:rsidRPr="00AA2AF6">
        <w:rPr>
          <w:rFonts w:ascii="Arial" w:eastAsia="Times New Roman" w:hAnsi="Arial" w:cs="Arial"/>
          <w:sz w:val="20"/>
          <w:szCs w:val="20"/>
          <w:lang w:eastAsia="pt-BR"/>
        </w:rPr>
        <w:t xml:space="preserve"> poderão, a título institucional, oferecer apoio técnico através de cursos, seminários e workshops ministrados por profissionais de mercado e/ou funcionários das Instituições para capacitação de servidores e membros dos órgãos colegiados; bem como, contraprestação de serviços e projetos de iniciativa do </w:t>
      </w:r>
      <w:r w:rsidRPr="00AA2AF6">
        <w:rPr>
          <w:rFonts w:ascii="Arial" w:eastAsia="Times New Roman" w:hAnsi="Arial" w:cs="Arial"/>
          <w:b/>
          <w:bCs/>
          <w:sz w:val="20"/>
          <w:szCs w:val="20"/>
          <w:lang w:eastAsia="pt-BR"/>
        </w:rPr>
        <w:t>FUNDO MUNICIPAL DE APOSENTADORIA E PENSÃO DE FERNÃO</w:t>
      </w:r>
      <w:r w:rsidRPr="00AA2AF6">
        <w:rPr>
          <w:rFonts w:ascii="Arial" w:eastAsia="Times New Roman" w:hAnsi="Arial" w:cs="Arial"/>
          <w:sz w:val="20"/>
          <w:szCs w:val="20"/>
          <w:lang w:eastAsia="pt-BR"/>
        </w:rPr>
        <w:t>, sem que haja ônus ou compromisso vinculados aos produtos de investimentos.</w:t>
      </w:r>
    </w:p>
    <w:p w:rsidR="00B75C56" w:rsidRPr="00AA2AF6" w:rsidRDefault="00B75C56" w:rsidP="00AA2AF6">
      <w:pPr>
        <w:spacing w:before="288" w:after="0" w:line="240" w:lineRule="auto"/>
        <w:jc w:val="both"/>
        <w:rPr>
          <w:rFonts w:ascii="Times New Roman" w:eastAsia="Times New Roman" w:hAnsi="Times New Roman" w:cs="Times New Roman"/>
          <w:sz w:val="24"/>
          <w:szCs w:val="24"/>
          <w:lang w:eastAsia="pt-BR"/>
        </w:rPr>
      </w:pPr>
      <w:r w:rsidRPr="00AA2AF6">
        <w:rPr>
          <w:rFonts w:ascii="Arial" w:eastAsia="Times New Roman" w:hAnsi="Arial" w:cs="Arial"/>
          <w:sz w:val="20"/>
          <w:szCs w:val="20"/>
          <w:lang w:eastAsia="pt-BR"/>
        </w:rPr>
        <w:t>Casos omissos nesta Política de Investimentos remetem-se à Resolução CMN n° 3.922/2010 e suas alterações, e à Portaria MPS nº 519, de 24 de agosto de 2011 e também alterações e demais normativas pertinentes aos Regimes Próprios de Previdência Social.</w:t>
      </w:r>
    </w:p>
    <w:p w:rsidR="00B75C56" w:rsidRPr="00AA2AF6" w:rsidRDefault="00B75C56" w:rsidP="00AA2AF6">
      <w:pPr>
        <w:spacing w:before="288" w:after="0" w:line="240" w:lineRule="auto"/>
        <w:jc w:val="both"/>
        <w:rPr>
          <w:rFonts w:ascii="Times New Roman" w:eastAsia="Times New Roman" w:hAnsi="Times New Roman" w:cs="Times New Roman"/>
          <w:sz w:val="24"/>
          <w:szCs w:val="24"/>
          <w:lang w:eastAsia="pt-BR"/>
        </w:rPr>
      </w:pPr>
      <w:r w:rsidRPr="00AA2AF6">
        <w:rPr>
          <w:rFonts w:ascii="Arial" w:eastAsia="Times New Roman" w:hAnsi="Arial" w:cs="Arial"/>
          <w:sz w:val="20"/>
          <w:szCs w:val="20"/>
          <w:lang w:eastAsia="pt-BR"/>
        </w:rPr>
        <w:t xml:space="preserve">É parte integrante desta Política de Investimentos, a cópia da </w:t>
      </w:r>
      <w:r w:rsidRPr="00AA2AF6">
        <w:rPr>
          <w:rFonts w:ascii="Arial" w:eastAsia="Times New Roman" w:hAnsi="Arial" w:cs="Arial"/>
          <w:b/>
          <w:bCs/>
          <w:sz w:val="20"/>
          <w:szCs w:val="20"/>
          <w:lang w:eastAsia="pt-BR"/>
        </w:rPr>
        <w:t>Ata do Comitê de Investimentos</w:t>
      </w:r>
      <w:r w:rsidRPr="00AA2AF6">
        <w:rPr>
          <w:rFonts w:ascii="Arial" w:eastAsia="Times New Roman" w:hAnsi="Arial" w:cs="Arial"/>
          <w:sz w:val="20"/>
          <w:szCs w:val="20"/>
          <w:lang w:eastAsia="pt-BR"/>
        </w:rPr>
        <w:t xml:space="preserve"> que é participante do processo decisório quanto à sua formulação e a cópia da </w:t>
      </w:r>
      <w:r w:rsidRPr="00AA2AF6">
        <w:rPr>
          <w:rFonts w:ascii="Arial" w:eastAsia="Times New Roman" w:hAnsi="Arial" w:cs="Arial"/>
          <w:b/>
          <w:bCs/>
          <w:sz w:val="20"/>
          <w:szCs w:val="20"/>
          <w:lang w:eastAsia="pt-BR"/>
        </w:rPr>
        <w:t>Ata do órgão superior</w:t>
      </w:r>
      <w:r w:rsidRPr="00AA2AF6">
        <w:rPr>
          <w:rFonts w:ascii="Arial" w:eastAsia="Times New Roman" w:hAnsi="Arial" w:cs="Arial"/>
          <w:sz w:val="20"/>
          <w:szCs w:val="20"/>
          <w:lang w:eastAsia="pt-BR"/>
        </w:rPr>
        <w:t xml:space="preserve"> competente que aprova o presente instrumento, devidamente assinada por seus membros e parecer técnico emitido pela consultoria de investimentos que apresenta a "Apuração do Valor Esperado da Rentabilidade Futura da Carteira de Investimentos Garantidores do RPPS, em atendimento ao Art. 26 da Portaria MF nº464/2018.</w:t>
      </w:r>
    </w:p>
    <w:p w:rsidR="00B75C56" w:rsidRPr="00AA2AF6" w:rsidRDefault="00B75C56" w:rsidP="00B75C56">
      <w:pPr>
        <w:spacing w:before="288" w:after="0" w:line="240" w:lineRule="auto"/>
        <w:rPr>
          <w:rFonts w:ascii="Times New Roman" w:eastAsia="Times New Roman" w:hAnsi="Times New Roman" w:cs="Times New Roman"/>
          <w:sz w:val="24"/>
          <w:szCs w:val="24"/>
          <w:lang w:eastAsia="pt-BR"/>
        </w:rPr>
      </w:pPr>
      <w:r w:rsidRPr="00AA2AF6">
        <w:rPr>
          <w:rFonts w:ascii="Arial" w:eastAsia="Times New Roman" w:hAnsi="Arial" w:cs="Arial"/>
          <w:sz w:val="20"/>
          <w:szCs w:val="20"/>
          <w:lang w:eastAsia="pt-BR"/>
        </w:rPr>
        <w:t>Este documento deverá ser assinado:</w:t>
      </w:r>
    </w:p>
    <w:p w:rsidR="00B75C56" w:rsidRPr="00AA2AF6" w:rsidRDefault="00B75C56" w:rsidP="00B75C56">
      <w:pPr>
        <w:spacing w:before="288" w:after="0" w:line="240" w:lineRule="auto"/>
        <w:rPr>
          <w:rFonts w:ascii="Times New Roman" w:eastAsia="Times New Roman" w:hAnsi="Times New Roman" w:cs="Times New Roman"/>
          <w:sz w:val="24"/>
          <w:szCs w:val="24"/>
          <w:lang w:eastAsia="pt-BR"/>
        </w:rPr>
      </w:pPr>
      <w:proofErr w:type="gramStart"/>
      <w:r w:rsidRPr="00AA2AF6">
        <w:rPr>
          <w:rFonts w:ascii="Arial" w:eastAsia="Times New Roman" w:hAnsi="Arial" w:cs="Arial"/>
          <w:sz w:val="20"/>
          <w:szCs w:val="20"/>
          <w:lang w:eastAsia="pt-BR"/>
        </w:rPr>
        <w:t>a</w:t>
      </w:r>
      <w:proofErr w:type="gramEnd"/>
      <w:r w:rsidRPr="00AA2AF6">
        <w:rPr>
          <w:rFonts w:ascii="Arial" w:eastAsia="Times New Roman" w:hAnsi="Arial" w:cs="Arial"/>
          <w:sz w:val="20"/>
          <w:szCs w:val="20"/>
          <w:lang w:eastAsia="pt-BR"/>
        </w:rPr>
        <w:t>)  pelo representante do ente federativo,</w:t>
      </w:r>
    </w:p>
    <w:p w:rsidR="00B75C56" w:rsidRPr="00AA2AF6" w:rsidRDefault="00B75C56" w:rsidP="00B75C56">
      <w:pPr>
        <w:spacing w:before="288" w:after="0" w:line="240" w:lineRule="auto"/>
        <w:rPr>
          <w:rFonts w:ascii="Times New Roman" w:eastAsia="Times New Roman" w:hAnsi="Times New Roman" w:cs="Times New Roman"/>
          <w:sz w:val="24"/>
          <w:szCs w:val="24"/>
          <w:lang w:eastAsia="pt-BR"/>
        </w:rPr>
      </w:pPr>
      <w:proofErr w:type="gramStart"/>
      <w:r w:rsidRPr="00AA2AF6">
        <w:rPr>
          <w:rFonts w:ascii="Arial" w:eastAsia="Times New Roman" w:hAnsi="Arial" w:cs="Arial"/>
          <w:sz w:val="20"/>
          <w:szCs w:val="20"/>
          <w:lang w:eastAsia="pt-BR"/>
        </w:rPr>
        <w:t>b)</w:t>
      </w:r>
      <w:proofErr w:type="gramEnd"/>
      <w:r w:rsidRPr="00AA2AF6">
        <w:rPr>
          <w:rFonts w:ascii="Arial" w:eastAsia="Times New Roman" w:hAnsi="Arial" w:cs="Arial"/>
          <w:sz w:val="20"/>
          <w:szCs w:val="20"/>
          <w:lang w:eastAsia="pt-BR"/>
        </w:rPr>
        <w:t>  pelo representante da unidade gestora do RPPS</w:t>
      </w:r>
    </w:p>
    <w:p w:rsidR="00B75C56" w:rsidRPr="00AA2AF6" w:rsidRDefault="00B75C56" w:rsidP="00AA2AF6">
      <w:pPr>
        <w:spacing w:before="288" w:after="0" w:line="240" w:lineRule="auto"/>
        <w:jc w:val="both"/>
        <w:rPr>
          <w:rFonts w:ascii="Times New Roman" w:eastAsia="Times New Roman" w:hAnsi="Times New Roman" w:cs="Times New Roman"/>
          <w:sz w:val="24"/>
          <w:szCs w:val="24"/>
          <w:lang w:eastAsia="pt-BR"/>
        </w:rPr>
      </w:pPr>
      <w:proofErr w:type="gramStart"/>
      <w:r w:rsidRPr="00AA2AF6">
        <w:rPr>
          <w:rFonts w:ascii="Arial" w:eastAsia="Times New Roman" w:hAnsi="Arial" w:cs="Arial"/>
          <w:sz w:val="20"/>
          <w:szCs w:val="20"/>
          <w:lang w:eastAsia="pt-BR"/>
        </w:rPr>
        <w:t>c)</w:t>
      </w:r>
      <w:proofErr w:type="gramEnd"/>
      <w:r w:rsidRPr="00AA2AF6">
        <w:rPr>
          <w:rFonts w:ascii="Arial" w:eastAsia="Times New Roman" w:hAnsi="Arial" w:cs="Arial"/>
          <w:sz w:val="20"/>
          <w:szCs w:val="20"/>
          <w:lang w:eastAsia="pt-BR"/>
        </w:rPr>
        <w:t xml:space="preserve">  pelos responsáveis pela </w:t>
      </w:r>
      <w:r w:rsidRPr="00AA2AF6">
        <w:rPr>
          <w:rFonts w:ascii="Arial" w:eastAsia="Times New Roman" w:hAnsi="Arial" w:cs="Arial"/>
          <w:b/>
          <w:bCs/>
          <w:sz w:val="20"/>
          <w:szCs w:val="20"/>
          <w:u w:val="single"/>
          <w:lang w:eastAsia="pt-BR"/>
        </w:rPr>
        <w:t>elaboração, aprovação e execução</w:t>
      </w:r>
      <w:r w:rsidRPr="00AA2AF6">
        <w:rPr>
          <w:rFonts w:ascii="Arial" w:eastAsia="Times New Roman" w:hAnsi="Arial" w:cs="Arial"/>
          <w:sz w:val="20"/>
          <w:szCs w:val="20"/>
          <w:lang w:eastAsia="pt-BR"/>
        </w:rPr>
        <w:t xml:space="preserve"> desta Política de Investimentos em atendimento ao § 4° do art. 1° da Portaria n° 519, de 24 de agosto de 2011.</w:t>
      </w:r>
    </w:p>
    <w:p w:rsidR="00B75C56" w:rsidRPr="00AA2AF6" w:rsidRDefault="00B75C56" w:rsidP="00AA2AF6">
      <w:pPr>
        <w:spacing w:before="288" w:after="0" w:line="240" w:lineRule="auto"/>
        <w:rPr>
          <w:rFonts w:ascii="Times New Roman" w:eastAsia="Times New Roman" w:hAnsi="Times New Roman" w:cs="Times New Roman"/>
          <w:b/>
          <w:bCs/>
          <w:kern w:val="36"/>
          <w:sz w:val="48"/>
          <w:szCs w:val="48"/>
          <w:lang w:eastAsia="pt-BR"/>
        </w:rPr>
      </w:pPr>
      <w:r w:rsidRPr="00AA2AF6">
        <w:rPr>
          <w:rFonts w:ascii="Arial" w:eastAsia="Times New Roman" w:hAnsi="Arial" w:cs="Arial"/>
          <w:sz w:val="20"/>
          <w:szCs w:val="20"/>
          <w:lang w:eastAsia="pt-BR"/>
        </w:rPr>
        <w:lastRenderedPageBreak/>
        <w:t> </w:t>
      </w:r>
      <w:bookmarkStart w:id="123" w:name="_Toc20130630"/>
      <w:r w:rsidRPr="00AA2AF6">
        <w:rPr>
          <w:rFonts w:ascii="Arial" w:eastAsia="Times New Roman" w:hAnsi="Arial" w:cs="Arial"/>
          <w:b/>
          <w:bCs/>
          <w:kern w:val="36"/>
          <w:lang w:eastAsia="pt-BR"/>
        </w:rPr>
        <w:t>DISCLAIMER</w:t>
      </w:r>
      <w:bookmarkEnd w:id="123"/>
    </w:p>
    <w:p w:rsidR="00B75C56" w:rsidRPr="00AA2AF6" w:rsidRDefault="00B75C56" w:rsidP="00AA2AF6">
      <w:pPr>
        <w:spacing w:before="288" w:after="0" w:line="240" w:lineRule="auto"/>
        <w:jc w:val="both"/>
        <w:rPr>
          <w:rFonts w:ascii="Times New Roman" w:eastAsia="Times New Roman" w:hAnsi="Times New Roman" w:cs="Times New Roman"/>
          <w:sz w:val="24"/>
          <w:szCs w:val="24"/>
          <w:lang w:eastAsia="pt-BR"/>
        </w:rPr>
      </w:pPr>
      <w:r w:rsidRPr="00AA2AF6">
        <w:rPr>
          <w:rFonts w:ascii="Arial" w:eastAsia="Times New Roman" w:hAnsi="Arial" w:cs="Arial"/>
          <w:i/>
          <w:iCs/>
          <w:sz w:val="20"/>
          <w:szCs w:val="20"/>
          <w:lang w:eastAsia="pt-BR"/>
        </w:rPr>
        <w:t xml:space="preserve">Este documento (caracterizado como relatório, parecer ou análise) foi preparado para uso exclusivo do destinatário, não podendo ser reproduzido ou distribuído por este a qualquer pessoa sem expressa autorização da empresa. As informações aqui contidas são somente com o objetivo de prover informações e não representa, em nenhuma hipótese, uma oferta de compra e venda ou solicitação de compra e venda de qualquer valor mobiliário ou instrumento financeiro. Esta é apenas uma OPINIÃO que reflete o momento da análise e são consubstanciadas em informações coletadas em fontes públicas e que julgamos confiáveis. A utilização destas informações em suas tomadas de decisão e </w:t>
      </w:r>
      <w:proofErr w:type="spellStart"/>
      <w:r w:rsidRPr="00AA2AF6">
        <w:rPr>
          <w:rFonts w:ascii="Arial" w:eastAsia="Times New Roman" w:hAnsi="Arial" w:cs="Arial"/>
          <w:i/>
          <w:iCs/>
          <w:sz w:val="20"/>
          <w:szCs w:val="20"/>
          <w:lang w:eastAsia="pt-BR"/>
        </w:rPr>
        <w:t>consequentes</w:t>
      </w:r>
      <w:proofErr w:type="spellEnd"/>
      <w:r w:rsidRPr="00AA2AF6">
        <w:rPr>
          <w:rFonts w:ascii="Arial" w:eastAsia="Times New Roman" w:hAnsi="Arial" w:cs="Arial"/>
          <w:i/>
          <w:iCs/>
          <w:sz w:val="20"/>
          <w:szCs w:val="20"/>
          <w:lang w:eastAsia="pt-BR"/>
        </w:rPr>
        <w:t xml:space="preserve"> perdas e ganhos não nos torna responsáveis diretos. As informações aqui contidas não representam garantia de exatidão das informações prestadas ou julgamento sobre a qualidade das mesmas, e não devem ser consideradas como tais. As informações deste documento estão em consonância com as informações sobre os produtos mencionados, entretanto não substituem seus materiais oficiais, como regulamentos e prospectos de divulgação. É recomendada a leitura cuidadosa destes materiais, com especial atenção para as cláusulas relativas ao objetivo, ao risco e à política de investimento dos produtos. Todas as informações podem ser obtidas com o responsável pela distribuição ou no site da CVM (Comissão de Valores Mobiliários). Sua elaboração buscou atender os objetivos de investimentos do cliente, considerando a sua situação financeira e seu perfil. A rentabilidade obtida no passado não representa garantia de rentabilidade futura e os produtos estruturados e/ou de longo prazo possuem, além da volatilidade, riscos associados à sua carteira de crédito e estruturação. Os riscos inerentes aos diversos tipos de operações com valores mobiliários de bolsa, balcão, nos mercados de liquidação futura e de derivativos, podem resultar em perdas aos investimentos realizados, bem como o inverso proporcionalmente. Todos e qualquer valor exibido está representado em Real (BRL) e para os cálculos, foram utilizadas observações diárias, sendo sua fonte o Sistema Quantum </w:t>
      </w:r>
      <w:proofErr w:type="spellStart"/>
      <w:r w:rsidRPr="00AA2AF6">
        <w:rPr>
          <w:rFonts w:ascii="Arial" w:eastAsia="Times New Roman" w:hAnsi="Arial" w:cs="Arial"/>
          <w:i/>
          <w:iCs/>
          <w:sz w:val="20"/>
          <w:szCs w:val="20"/>
          <w:lang w:eastAsia="pt-BR"/>
        </w:rPr>
        <w:t>Axis</w:t>
      </w:r>
      <w:proofErr w:type="spellEnd"/>
      <w:r w:rsidRPr="00AA2AF6">
        <w:rPr>
          <w:rFonts w:ascii="Arial" w:eastAsia="Times New Roman" w:hAnsi="Arial" w:cs="Arial"/>
          <w:i/>
          <w:iCs/>
          <w:sz w:val="20"/>
          <w:szCs w:val="20"/>
          <w:lang w:eastAsia="pt-BR"/>
        </w:rPr>
        <w:t xml:space="preserve"> e a CVM. A contratação de empresa de consultoria de valores mobiliários para a emissão deste documento não assegura ou sugere a existência de garantia de resultados futuros ou a isenção de risco. Os RPPS devem estar adequados às normativas pertinentes e principalmente a Portaria nº 519, de 24 de agosto de 2011 e suas alterações, além da Resolução CMN nº 3.922 de 25 de novembro de 2010 e suas alterações, que dispõem sobre as aplicações dos recursos financeiros dos Regimes Próprios de Previdência Social, instituídos pela União, Estados, Distrito Federal e Municípios e dá outras providências.</w:t>
      </w:r>
    </w:p>
    <w:p w:rsidR="009D7012" w:rsidRDefault="009D7012" w:rsidP="00AA2AF6">
      <w:pPr>
        <w:jc w:val="both"/>
      </w:pPr>
    </w:p>
    <w:p w:rsidR="00AA2AF6" w:rsidRDefault="00AA2AF6" w:rsidP="00AA2AF6">
      <w:pPr>
        <w:jc w:val="both"/>
      </w:pPr>
      <w:r>
        <w:t xml:space="preserve">Fernão, </w:t>
      </w:r>
      <w:r w:rsidR="00C14FF6">
        <w:t>25</w:t>
      </w:r>
      <w:r>
        <w:t xml:space="preserve"> de janeiro de 2021.</w:t>
      </w:r>
    </w:p>
    <w:p w:rsidR="00AA2AF6" w:rsidRDefault="00AA2AF6" w:rsidP="00AA2AF6">
      <w:pPr>
        <w:jc w:val="both"/>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5"/>
        <w:gridCol w:w="4606"/>
      </w:tblGrid>
      <w:tr w:rsidR="00AA2AF6" w:rsidTr="00AA2AF6">
        <w:trPr>
          <w:trHeight w:val="567"/>
        </w:trPr>
        <w:tc>
          <w:tcPr>
            <w:tcW w:w="4605" w:type="dxa"/>
            <w:vAlign w:val="center"/>
          </w:tcPr>
          <w:p w:rsidR="00AA2AF6" w:rsidRPr="004D5086" w:rsidRDefault="00AA2AF6" w:rsidP="00AA2AF6">
            <w:pPr>
              <w:jc w:val="center"/>
              <w:rPr>
                <w:rFonts w:ascii="Arial" w:hAnsi="Arial" w:cs="Arial"/>
              </w:rPr>
            </w:pPr>
            <w:r w:rsidRPr="004D5086">
              <w:rPr>
                <w:rFonts w:ascii="Arial" w:hAnsi="Arial" w:cs="Arial"/>
              </w:rPr>
              <w:t xml:space="preserve">Sandra Azevedo </w:t>
            </w:r>
            <w:proofErr w:type="spellStart"/>
            <w:r w:rsidRPr="004D5086">
              <w:rPr>
                <w:rFonts w:ascii="Arial" w:hAnsi="Arial" w:cs="Arial"/>
              </w:rPr>
              <w:t>Atran</w:t>
            </w:r>
            <w:proofErr w:type="spellEnd"/>
          </w:p>
        </w:tc>
        <w:tc>
          <w:tcPr>
            <w:tcW w:w="4606" w:type="dxa"/>
            <w:vAlign w:val="center"/>
          </w:tcPr>
          <w:p w:rsidR="00AA2AF6" w:rsidRPr="004D5086" w:rsidRDefault="00AE1FE6" w:rsidP="00AA2AF6">
            <w:pPr>
              <w:jc w:val="center"/>
              <w:rPr>
                <w:rFonts w:ascii="Arial" w:hAnsi="Arial" w:cs="Arial"/>
              </w:rPr>
            </w:pPr>
            <w:r w:rsidRPr="004D5086">
              <w:rPr>
                <w:rFonts w:ascii="Arial" w:hAnsi="Arial" w:cs="Arial"/>
              </w:rPr>
              <w:t>Marco Antonio Borelli</w:t>
            </w:r>
          </w:p>
        </w:tc>
      </w:tr>
      <w:tr w:rsidR="00AA2AF6" w:rsidTr="00AA2AF6">
        <w:trPr>
          <w:trHeight w:val="567"/>
        </w:trPr>
        <w:tc>
          <w:tcPr>
            <w:tcW w:w="4605" w:type="dxa"/>
            <w:vAlign w:val="center"/>
          </w:tcPr>
          <w:p w:rsidR="00AA2AF6" w:rsidRPr="004D5086" w:rsidRDefault="00EF2AB4" w:rsidP="00AA2AF6">
            <w:pPr>
              <w:jc w:val="center"/>
              <w:rPr>
                <w:rFonts w:ascii="Arial" w:hAnsi="Arial" w:cs="Arial"/>
              </w:rPr>
            </w:pPr>
            <w:r w:rsidRPr="004D5086">
              <w:rPr>
                <w:rFonts w:ascii="Arial" w:hAnsi="Arial" w:cs="Arial"/>
              </w:rPr>
              <w:t xml:space="preserve">Adriana </w:t>
            </w:r>
            <w:proofErr w:type="spellStart"/>
            <w:r w:rsidRPr="004D5086">
              <w:rPr>
                <w:rFonts w:ascii="Arial" w:hAnsi="Arial" w:cs="Arial"/>
              </w:rPr>
              <w:t>Pettenucci</w:t>
            </w:r>
            <w:proofErr w:type="spellEnd"/>
            <w:r w:rsidRPr="004D5086">
              <w:rPr>
                <w:rFonts w:ascii="Arial" w:hAnsi="Arial" w:cs="Arial"/>
              </w:rPr>
              <w:t xml:space="preserve"> da Fonseca Santos</w:t>
            </w:r>
          </w:p>
        </w:tc>
        <w:tc>
          <w:tcPr>
            <w:tcW w:w="4606" w:type="dxa"/>
            <w:vAlign w:val="center"/>
          </w:tcPr>
          <w:p w:rsidR="00AA2AF6" w:rsidRPr="004D5086" w:rsidRDefault="00EF2AB4" w:rsidP="00AA2AF6">
            <w:pPr>
              <w:jc w:val="center"/>
              <w:rPr>
                <w:rFonts w:ascii="Arial" w:hAnsi="Arial" w:cs="Arial"/>
              </w:rPr>
            </w:pPr>
            <w:r w:rsidRPr="004D5086">
              <w:rPr>
                <w:rFonts w:ascii="Arial" w:hAnsi="Arial" w:cs="Arial"/>
                <w:i/>
              </w:rPr>
              <w:t>Angélica da Silva Rodrigues Mira</w:t>
            </w:r>
          </w:p>
        </w:tc>
      </w:tr>
      <w:tr w:rsidR="00AE1FE6" w:rsidTr="00AA2AF6">
        <w:trPr>
          <w:trHeight w:val="567"/>
        </w:trPr>
        <w:tc>
          <w:tcPr>
            <w:tcW w:w="4605" w:type="dxa"/>
            <w:vAlign w:val="center"/>
          </w:tcPr>
          <w:p w:rsidR="00AE1FE6" w:rsidRPr="004D5086" w:rsidRDefault="005239B5" w:rsidP="00AA2AF6">
            <w:pPr>
              <w:jc w:val="center"/>
              <w:rPr>
                <w:rFonts w:ascii="Arial" w:hAnsi="Arial" w:cs="Arial"/>
              </w:rPr>
            </w:pPr>
            <w:r w:rsidRPr="004D5086">
              <w:rPr>
                <w:rFonts w:ascii="Arial" w:hAnsi="Arial" w:cs="Arial"/>
              </w:rPr>
              <w:t>Lucas Azevedo</w:t>
            </w:r>
          </w:p>
        </w:tc>
        <w:tc>
          <w:tcPr>
            <w:tcW w:w="4606" w:type="dxa"/>
            <w:vAlign w:val="center"/>
          </w:tcPr>
          <w:p w:rsidR="00AE1FE6" w:rsidRPr="004D5086" w:rsidRDefault="005239B5" w:rsidP="00AA2AF6">
            <w:pPr>
              <w:jc w:val="center"/>
              <w:rPr>
                <w:rFonts w:ascii="Arial" w:hAnsi="Arial" w:cs="Arial"/>
              </w:rPr>
            </w:pPr>
            <w:r w:rsidRPr="004D5086">
              <w:rPr>
                <w:rFonts w:ascii="Arial" w:hAnsi="Arial" w:cs="Arial"/>
                <w:i/>
              </w:rPr>
              <w:t xml:space="preserve">Jan Paulo Pires Bueno </w:t>
            </w:r>
            <w:proofErr w:type="spellStart"/>
            <w:r w:rsidRPr="004D5086">
              <w:rPr>
                <w:rFonts w:ascii="Arial" w:hAnsi="Arial" w:cs="Arial"/>
                <w:i/>
              </w:rPr>
              <w:t>Zupardo</w:t>
            </w:r>
            <w:proofErr w:type="spellEnd"/>
          </w:p>
        </w:tc>
      </w:tr>
      <w:tr w:rsidR="005239B5" w:rsidTr="00AA2AF6">
        <w:trPr>
          <w:trHeight w:val="567"/>
        </w:trPr>
        <w:tc>
          <w:tcPr>
            <w:tcW w:w="4605" w:type="dxa"/>
            <w:vAlign w:val="center"/>
          </w:tcPr>
          <w:p w:rsidR="005239B5" w:rsidRPr="004D5086" w:rsidRDefault="005239B5" w:rsidP="00AA2AF6">
            <w:pPr>
              <w:jc w:val="center"/>
              <w:rPr>
                <w:rFonts w:ascii="Arial" w:hAnsi="Arial" w:cs="Arial"/>
              </w:rPr>
            </w:pPr>
            <w:r w:rsidRPr="004D5086">
              <w:rPr>
                <w:rFonts w:ascii="Arial" w:hAnsi="Arial" w:cs="Arial"/>
              </w:rPr>
              <w:t>Adriana Guerra</w:t>
            </w:r>
          </w:p>
        </w:tc>
        <w:tc>
          <w:tcPr>
            <w:tcW w:w="4606" w:type="dxa"/>
            <w:vAlign w:val="center"/>
          </w:tcPr>
          <w:p w:rsidR="005239B5" w:rsidRPr="004D5086" w:rsidRDefault="004D5086" w:rsidP="00AA2AF6">
            <w:pPr>
              <w:jc w:val="center"/>
              <w:rPr>
                <w:rFonts w:ascii="Arial" w:hAnsi="Arial" w:cs="Arial"/>
                <w:i/>
              </w:rPr>
            </w:pPr>
            <w:r w:rsidRPr="004D5086">
              <w:rPr>
                <w:rFonts w:ascii="Arial" w:hAnsi="Arial" w:cs="Arial"/>
                <w:i/>
              </w:rPr>
              <w:t xml:space="preserve">José Valentim </w:t>
            </w:r>
            <w:proofErr w:type="spellStart"/>
            <w:r w:rsidRPr="004D5086">
              <w:rPr>
                <w:rFonts w:ascii="Arial" w:hAnsi="Arial" w:cs="Arial"/>
                <w:i/>
              </w:rPr>
              <w:t>Fodra</w:t>
            </w:r>
            <w:proofErr w:type="spellEnd"/>
          </w:p>
        </w:tc>
      </w:tr>
      <w:tr w:rsidR="004D5086" w:rsidTr="00AA2AF6">
        <w:trPr>
          <w:trHeight w:val="567"/>
        </w:trPr>
        <w:tc>
          <w:tcPr>
            <w:tcW w:w="4605" w:type="dxa"/>
            <w:vAlign w:val="center"/>
          </w:tcPr>
          <w:p w:rsidR="004D5086" w:rsidRPr="004D5086" w:rsidRDefault="004D5086" w:rsidP="00AA2AF6">
            <w:pPr>
              <w:jc w:val="center"/>
              <w:rPr>
                <w:rFonts w:ascii="Arial" w:hAnsi="Arial" w:cs="Arial"/>
              </w:rPr>
            </w:pPr>
            <w:r w:rsidRPr="004D5086">
              <w:rPr>
                <w:rFonts w:ascii="Arial" w:hAnsi="Arial" w:cs="Arial"/>
              </w:rPr>
              <w:t>Marcelo Dias Junior</w:t>
            </w:r>
          </w:p>
        </w:tc>
        <w:tc>
          <w:tcPr>
            <w:tcW w:w="4606" w:type="dxa"/>
            <w:vAlign w:val="center"/>
          </w:tcPr>
          <w:p w:rsidR="004D5086" w:rsidRPr="004D5086" w:rsidRDefault="004D5086" w:rsidP="00AA2AF6">
            <w:pPr>
              <w:jc w:val="center"/>
              <w:rPr>
                <w:rFonts w:ascii="Arial" w:hAnsi="Arial" w:cs="Arial"/>
                <w:i/>
              </w:rPr>
            </w:pPr>
          </w:p>
        </w:tc>
      </w:tr>
    </w:tbl>
    <w:p w:rsidR="00AA2AF6" w:rsidRPr="00AA2AF6" w:rsidRDefault="00AA2AF6" w:rsidP="00AA2AF6">
      <w:pPr>
        <w:jc w:val="both"/>
      </w:pPr>
    </w:p>
    <w:sectPr w:rsidR="00AA2AF6" w:rsidRPr="00AA2AF6" w:rsidSect="00B354B8">
      <w:pgSz w:w="11906" w:h="16838"/>
      <w:pgMar w:top="2268"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75C56"/>
    <w:rsid w:val="000841C9"/>
    <w:rsid w:val="00152577"/>
    <w:rsid w:val="001768D7"/>
    <w:rsid w:val="001A2D20"/>
    <w:rsid w:val="002514F3"/>
    <w:rsid w:val="00291FE5"/>
    <w:rsid w:val="00315669"/>
    <w:rsid w:val="00322F05"/>
    <w:rsid w:val="0035190F"/>
    <w:rsid w:val="003610A1"/>
    <w:rsid w:val="003B2292"/>
    <w:rsid w:val="0042183D"/>
    <w:rsid w:val="004749C6"/>
    <w:rsid w:val="004D5086"/>
    <w:rsid w:val="004F2FF3"/>
    <w:rsid w:val="004F51AC"/>
    <w:rsid w:val="005202A2"/>
    <w:rsid w:val="00522A23"/>
    <w:rsid w:val="005239B5"/>
    <w:rsid w:val="00547F93"/>
    <w:rsid w:val="00581DB4"/>
    <w:rsid w:val="0059259B"/>
    <w:rsid w:val="005A41BF"/>
    <w:rsid w:val="005C3FB4"/>
    <w:rsid w:val="005D3323"/>
    <w:rsid w:val="005E434E"/>
    <w:rsid w:val="005F112F"/>
    <w:rsid w:val="00632612"/>
    <w:rsid w:val="006A20CC"/>
    <w:rsid w:val="006A28B8"/>
    <w:rsid w:val="006F12B6"/>
    <w:rsid w:val="006F568D"/>
    <w:rsid w:val="00742EE0"/>
    <w:rsid w:val="007C7A35"/>
    <w:rsid w:val="00810932"/>
    <w:rsid w:val="00830111"/>
    <w:rsid w:val="00832344"/>
    <w:rsid w:val="008A6F0A"/>
    <w:rsid w:val="00926067"/>
    <w:rsid w:val="009876FB"/>
    <w:rsid w:val="009A7012"/>
    <w:rsid w:val="009D7012"/>
    <w:rsid w:val="009E0B6F"/>
    <w:rsid w:val="00A15C4F"/>
    <w:rsid w:val="00A706DF"/>
    <w:rsid w:val="00AA2AF6"/>
    <w:rsid w:val="00AA7531"/>
    <w:rsid w:val="00AE1FE6"/>
    <w:rsid w:val="00B354B8"/>
    <w:rsid w:val="00B437B5"/>
    <w:rsid w:val="00B75C56"/>
    <w:rsid w:val="00C1369D"/>
    <w:rsid w:val="00C14FF6"/>
    <w:rsid w:val="00C647B0"/>
    <w:rsid w:val="00D13D74"/>
    <w:rsid w:val="00D41D88"/>
    <w:rsid w:val="00D92D28"/>
    <w:rsid w:val="00DB2B28"/>
    <w:rsid w:val="00DC71CD"/>
    <w:rsid w:val="00DE2EA6"/>
    <w:rsid w:val="00E026B7"/>
    <w:rsid w:val="00E135D5"/>
    <w:rsid w:val="00E75EB1"/>
    <w:rsid w:val="00EE15FD"/>
    <w:rsid w:val="00EF2AB4"/>
    <w:rsid w:val="00F15456"/>
    <w:rsid w:val="00F5506B"/>
    <w:rsid w:val="00F72638"/>
    <w:rsid w:val="00F8588C"/>
    <w:rsid w:val="00FA38AC"/>
    <w:rsid w:val="00FA69E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012"/>
  </w:style>
  <w:style w:type="paragraph" w:styleId="Ttulo1">
    <w:name w:val="heading 1"/>
    <w:basedOn w:val="Normal"/>
    <w:link w:val="Ttulo1Char"/>
    <w:uiPriority w:val="9"/>
    <w:qFormat/>
    <w:rsid w:val="00B75C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B75C56"/>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B75C56"/>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B75C56"/>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75C56"/>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B75C56"/>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B75C56"/>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B75C56"/>
    <w:rPr>
      <w:rFonts w:ascii="Times New Roman" w:eastAsia="Times New Roman" w:hAnsi="Times New Roman" w:cs="Times New Roman"/>
      <w:b/>
      <w:bCs/>
      <w:sz w:val="24"/>
      <w:szCs w:val="24"/>
      <w:lang w:eastAsia="pt-BR"/>
    </w:rPr>
  </w:style>
  <w:style w:type="table" w:styleId="Tabelacomgrade">
    <w:name w:val="Table Grid"/>
    <w:basedOn w:val="Tabelanormal"/>
    <w:uiPriority w:val="59"/>
    <w:rsid w:val="00AA2A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0640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6D158-3B58-48C1-A089-D72EC4538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32</Pages>
  <Words>13137</Words>
  <Characters>70946</Characters>
  <Application>Microsoft Office Word</Application>
  <DocSecurity>0</DocSecurity>
  <Lines>591</Lines>
  <Paragraphs>167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Contabilidade</dc:creator>
  <cp:lastModifiedBy>Contabilidade</cp:lastModifiedBy>
  <cp:revision>45</cp:revision>
  <cp:lastPrinted>2021-01-25T17:50:00Z</cp:lastPrinted>
  <dcterms:created xsi:type="dcterms:W3CDTF">2021-01-08T14:24:00Z</dcterms:created>
  <dcterms:modified xsi:type="dcterms:W3CDTF">2021-01-25T18:13:00Z</dcterms:modified>
</cp:coreProperties>
</file>